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A0AE" w14:textId="719C5011" w:rsidR="00DC2A83" w:rsidRPr="00CA6876" w:rsidRDefault="00CA6876" w:rsidP="00C95FA5">
      <w:pPr>
        <w:pStyle w:val="webtitle"/>
        <w:rPr>
          <w:lang w:val="es-SV"/>
        </w:rPr>
      </w:pPr>
      <w:bookmarkStart w:id="0" w:name="vba_ENGLISH_EntireSection"/>
      <w:r w:rsidRPr="00CA6876">
        <w:rPr>
          <w:lang w:val="es-SV"/>
        </w:rPr>
        <w:t xml:space="preserve">El </w:t>
      </w:r>
      <w:proofErr w:type="gramStart"/>
      <w:r w:rsidRPr="00CA6876">
        <w:rPr>
          <w:lang w:val="es-SV"/>
        </w:rPr>
        <w:t>Directorio Ejecutivo</w:t>
      </w:r>
      <w:proofErr w:type="gramEnd"/>
      <w:r w:rsidRPr="00CA6876">
        <w:rPr>
          <w:lang w:val="es-SV"/>
        </w:rPr>
        <w:t xml:space="preserve"> del FMI </w:t>
      </w:r>
      <w:r>
        <w:rPr>
          <w:lang w:val="es-SV"/>
        </w:rPr>
        <w:t>C</w:t>
      </w:r>
      <w:r w:rsidRPr="00CA6876">
        <w:rPr>
          <w:lang w:val="es-SV"/>
        </w:rPr>
        <w:t xml:space="preserve">oncluye </w:t>
      </w:r>
      <w:r>
        <w:rPr>
          <w:lang w:val="es-SV"/>
        </w:rPr>
        <w:t>la</w:t>
      </w:r>
      <w:r w:rsidR="00AC0764" w:rsidRPr="00CA6876">
        <w:rPr>
          <w:lang w:val="es-SV"/>
        </w:rPr>
        <w:t xml:space="preserve"> Con</w:t>
      </w:r>
      <w:bookmarkStart w:id="1" w:name="vba_ENGLISH_BeginTyping"/>
      <w:bookmarkEnd w:id="1"/>
      <w:r>
        <w:rPr>
          <w:lang w:val="es-SV"/>
        </w:rPr>
        <w:t>sulta del</w:t>
      </w:r>
      <w:r w:rsidR="00AC0764" w:rsidRPr="00CA6876">
        <w:rPr>
          <w:lang w:val="es-SV"/>
        </w:rPr>
        <w:t xml:space="preserve"> Art</w:t>
      </w:r>
      <w:r>
        <w:rPr>
          <w:lang w:val="es-SV"/>
        </w:rPr>
        <w:t>í</w:t>
      </w:r>
      <w:r w:rsidR="00AC0764" w:rsidRPr="00CA6876">
        <w:rPr>
          <w:lang w:val="es-SV"/>
        </w:rPr>
        <w:t>c</w:t>
      </w:r>
      <w:r>
        <w:rPr>
          <w:lang w:val="es-SV"/>
        </w:rPr>
        <w:t xml:space="preserve">ulo </w:t>
      </w:r>
      <w:r w:rsidR="00AC0764" w:rsidRPr="00CA6876">
        <w:rPr>
          <w:lang w:val="es-SV"/>
        </w:rPr>
        <w:t xml:space="preserve">IV </w:t>
      </w:r>
      <w:r>
        <w:rPr>
          <w:lang w:val="es-SV"/>
        </w:rPr>
        <w:t>con República</w:t>
      </w:r>
      <w:r w:rsidR="00A60334" w:rsidRPr="00CA6876">
        <w:rPr>
          <w:lang w:val="es-SV"/>
        </w:rPr>
        <w:t xml:space="preserve"> Dominican</w:t>
      </w:r>
      <w:r>
        <w:rPr>
          <w:lang w:val="es-SV"/>
        </w:rPr>
        <w:t>a, correspondiente a 2025</w:t>
      </w:r>
      <w:r w:rsidR="00A60334" w:rsidRPr="00CA6876">
        <w:rPr>
          <w:lang w:val="es-SV"/>
        </w:rPr>
        <w:t xml:space="preserve"> </w:t>
      </w:r>
    </w:p>
    <w:p w14:paraId="56E301BD" w14:textId="1E799977" w:rsidR="001304F6" w:rsidRPr="00575545" w:rsidRDefault="00CA6876" w:rsidP="00915BA0">
      <w:pPr>
        <w:pStyle w:val="webexclude"/>
      </w:pPr>
      <w:bookmarkStart w:id="2" w:name="PR_StartText"/>
      <w:bookmarkEnd w:id="2"/>
      <w:r>
        <w:t>PARA SU PUBLICACION INMEDIATA</w:t>
      </w:r>
    </w:p>
    <w:p w14:paraId="262BD5B8" w14:textId="48752FB5" w:rsidR="00D617C9" w:rsidRPr="0071684F" w:rsidRDefault="00F3057D" w:rsidP="00B06FBC">
      <w:pPr>
        <w:pStyle w:val="ListBullet"/>
        <w:numPr>
          <w:ilvl w:val="0"/>
          <w:numId w:val="1"/>
        </w:numPr>
        <w:tabs>
          <w:tab w:val="clear" w:pos="360"/>
          <w:tab w:val="num" w:pos="720"/>
        </w:tabs>
        <w:spacing w:after="240" w:line="300" w:lineRule="auto"/>
        <w:rPr>
          <w:rFonts w:cs="Arial"/>
          <w:lang w:val="es-SV"/>
        </w:rPr>
      </w:pPr>
      <w:r w:rsidRPr="0071684F">
        <w:rPr>
          <w:rFonts w:cs="Arial"/>
          <w:i/>
          <w:lang w:val="es-SV"/>
        </w:rPr>
        <w:t xml:space="preserve">Se prevé que el crecimiento </w:t>
      </w:r>
      <w:r w:rsidR="004311A6">
        <w:rPr>
          <w:rFonts w:cs="Arial"/>
          <w:i/>
          <w:lang w:val="es-SV"/>
        </w:rPr>
        <w:t xml:space="preserve">de </w:t>
      </w:r>
      <w:r w:rsidRPr="0071684F">
        <w:rPr>
          <w:rFonts w:cs="Arial"/>
          <w:i/>
          <w:lang w:val="es-SV"/>
        </w:rPr>
        <w:t xml:space="preserve">República Dominicana </w:t>
      </w:r>
      <w:r w:rsidR="00946369" w:rsidRPr="0071684F">
        <w:rPr>
          <w:rFonts w:cs="Arial"/>
          <w:i/>
          <w:iCs/>
          <w:lang w:val="es-SV"/>
        </w:rPr>
        <w:t>se aceler</w:t>
      </w:r>
      <w:r w:rsidR="00D87C25" w:rsidRPr="0071684F">
        <w:rPr>
          <w:rFonts w:cs="Arial"/>
          <w:i/>
          <w:iCs/>
          <w:lang w:val="es-SV"/>
        </w:rPr>
        <w:t>e</w:t>
      </w:r>
      <w:r w:rsidR="00946369" w:rsidRPr="0071684F">
        <w:rPr>
          <w:rFonts w:cs="Arial"/>
          <w:i/>
          <w:iCs/>
          <w:lang w:val="es-SV"/>
        </w:rPr>
        <w:t xml:space="preserve"> hacia adelante</w:t>
      </w:r>
      <w:r w:rsidR="003232DF" w:rsidRPr="0071684F">
        <w:rPr>
          <w:rFonts w:cs="Arial"/>
          <w:i/>
          <w:iCs/>
          <w:lang w:val="es-SV"/>
        </w:rPr>
        <w:t>,</w:t>
      </w:r>
      <w:r w:rsidR="00946369" w:rsidRPr="0071684F">
        <w:rPr>
          <w:rFonts w:cs="Arial"/>
          <w:i/>
          <w:iCs/>
          <w:lang w:val="es-SV"/>
        </w:rPr>
        <w:t xml:space="preserve"> sustentado por las </w:t>
      </w:r>
      <w:r w:rsidR="007B5E32" w:rsidRPr="0071684F">
        <w:rPr>
          <w:rFonts w:cs="Arial"/>
          <w:i/>
          <w:iCs/>
          <w:lang w:val="es-SV"/>
        </w:rPr>
        <w:t>políticas</w:t>
      </w:r>
      <w:r w:rsidR="00946369" w:rsidRPr="0071684F">
        <w:rPr>
          <w:rFonts w:cs="Arial"/>
          <w:i/>
          <w:iCs/>
          <w:lang w:val="es-SV"/>
        </w:rPr>
        <w:t xml:space="preserve"> de apoyo de las </w:t>
      </w:r>
      <w:r w:rsidR="007B5E32" w:rsidRPr="0071684F">
        <w:rPr>
          <w:rFonts w:cs="Arial"/>
          <w:i/>
          <w:iCs/>
          <w:lang w:val="es-SV"/>
        </w:rPr>
        <w:t>autoridades</w:t>
      </w:r>
      <w:r w:rsidR="00B9797E" w:rsidRPr="0071684F">
        <w:rPr>
          <w:rFonts w:cs="Arial"/>
          <w:i/>
          <w:lang w:val="es-SV"/>
        </w:rPr>
        <w:t xml:space="preserve">, después de la desaceleración económica registrada a finales de 2024 y en el primer semestre de 2025 </w:t>
      </w:r>
      <w:r w:rsidR="00ED287F" w:rsidRPr="0071684F">
        <w:rPr>
          <w:rFonts w:cs="Arial"/>
          <w:i/>
          <w:iCs/>
          <w:lang w:val="es-SV"/>
        </w:rPr>
        <w:t xml:space="preserve">debida al aumento de la incertidumbre y condiciones financieras más restrictivas. </w:t>
      </w:r>
    </w:p>
    <w:p w14:paraId="7AB2B1E2" w14:textId="52275038" w:rsidR="00D617C9" w:rsidRPr="0071684F" w:rsidRDefault="00F94A68" w:rsidP="00B06FBC">
      <w:pPr>
        <w:pStyle w:val="ListBullet"/>
        <w:numPr>
          <w:ilvl w:val="0"/>
          <w:numId w:val="1"/>
        </w:numPr>
        <w:tabs>
          <w:tab w:val="clear" w:pos="360"/>
          <w:tab w:val="num" w:pos="720"/>
        </w:tabs>
        <w:spacing w:after="240" w:line="300" w:lineRule="auto"/>
        <w:rPr>
          <w:rFonts w:cs="Arial"/>
          <w:lang w:val="es-SV"/>
        </w:rPr>
      </w:pPr>
      <w:bookmarkStart w:id="3" w:name="DelTable"/>
      <w:bookmarkStart w:id="4" w:name="bktable"/>
      <w:bookmarkEnd w:id="3"/>
      <w:bookmarkEnd w:id="4"/>
      <w:r w:rsidRPr="0071684F">
        <w:rPr>
          <w:rFonts w:cs="Arial"/>
          <w:i/>
          <w:iCs/>
          <w:lang w:val="es-SV"/>
        </w:rPr>
        <w:t xml:space="preserve">República Dominicana </w:t>
      </w:r>
      <w:r w:rsidR="001156C9" w:rsidRPr="0071684F">
        <w:rPr>
          <w:rFonts w:cs="Arial"/>
          <w:i/>
          <w:iCs/>
          <w:lang w:val="es-SV"/>
        </w:rPr>
        <w:t>cuenta con</w:t>
      </w:r>
      <w:r w:rsidRPr="0071684F">
        <w:rPr>
          <w:rFonts w:cs="Arial"/>
          <w:i/>
          <w:iCs/>
          <w:lang w:val="es-SV"/>
        </w:rPr>
        <w:t xml:space="preserve"> fundamentos económicos fuertes y espacio de </w:t>
      </w:r>
      <w:r w:rsidR="001156C9" w:rsidRPr="0071684F">
        <w:rPr>
          <w:rFonts w:cs="Arial"/>
          <w:i/>
          <w:iCs/>
          <w:lang w:val="es-SV"/>
        </w:rPr>
        <w:t xml:space="preserve">maniobra para aplicar </w:t>
      </w:r>
      <w:r w:rsidRPr="0071684F">
        <w:rPr>
          <w:rFonts w:cs="Arial"/>
          <w:i/>
          <w:iCs/>
          <w:lang w:val="es-SV"/>
        </w:rPr>
        <w:t xml:space="preserve">políticas en caso de que </w:t>
      </w:r>
      <w:r w:rsidR="00312760" w:rsidRPr="0071684F">
        <w:rPr>
          <w:rFonts w:cs="Arial"/>
          <w:i/>
          <w:iCs/>
          <w:lang w:val="es-SV"/>
        </w:rPr>
        <w:t xml:space="preserve">los riesgos </w:t>
      </w:r>
      <w:r w:rsidRPr="0071684F">
        <w:rPr>
          <w:rFonts w:cs="Arial"/>
          <w:i/>
          <w:iCs/>
          <w:lang w:val="es-SV"/>
        </w:rPr>
        <w:t xml:space="preserve">se materialicen, </w:t>
      </w:r>
      <w:r w:rsidR="00764E5C" w:rsidRPr="0071684F">
        <w:rPr>
          <w:rFonts w:cs="Arial"/>
          <w:i/>
          <w:iCs/>
          <w:lang w:val="es-SV"/>
        </w:rPr>
        <w:t>con lo cual e</w:t>
      </w:r>
      <w:r w:rsidR="002914F0" w:rsidRPr="0071684F">
        <w:rPr>
          <w:rFonts w:cs="Arial"/>
          <w:i/>
          <w:iCs/>
          <w:lang w:val="es-SV"/>
        </w:rPr>
        <w:t>l país se encuentra</w:t>
      </w:r>
      <w:r w:rsidRPr="0071684F">
        <w:rPr>
          <w:rFonts w:cs="Arial"/>
          <w:i/>
          <w:iCs/>
          <w:lang w:val="es-SV"/>
        </w:rPr>
        <w:t xml:space="preserve"> en una buena posición para enfrentar la continua incertidumbre global.  </w:t>
      </w:r>
    </w:p>
    <w:p w14:paraId="345F143A" w14:textId="54E62492" w:rsidR="00D617C9" w:rsidRPr="0071684F" w:rsidRDefault="00AC3A83" w:rsidP="00D617C9">
      <w:pPr>
        <w:pStyle w:val="ListBullet"/>
        <w:numPr>
          <w:ilvl w:val="0"/>
          <w:numId w:val="1"/>
        </w:numPr>
        <w:tabs>
          <w:tab w:val="clear" w:pos="360"/>
          <w:tab w:val="num" w:pos="720"/>
        </w:tabs>
        <w:spacing w:after="240" w:line="300" w:lineRule="auto"/>
        <w:rPr>
          <w:rFonts w:cs="Arial"/>
          <w:i/>
          <w:lang w:val="es-SV"/>
        </w:rPr>
      </w:pPr>
      <w:r w:rsidRPr="0071684F">
        <w:rPr>
          <w:rFonts w:cs="Arial"/>
          <w:i/>
          <w:lang w:val="es-SV"/>
        </w:rPr>
        <w:t>Las reformas fiscales y estructurales, sobre todo en el sector eléctrico, son esenciales</w:t>
      </w:r>
      <w:r w:rsidR="00F94A68" w:rsidRPr="0071684F">
        <w:rPr>
          <w:rFonts w:cs="Arial"/>
          <w:i/>
          <w:iCs/>
          <w:lang w:val="es-SV"/>
        </w:rPr>
        <w:t xml:space="preserve"> para </w:t>
      </w:r>
      <w:r w:rsidR="00DC7995" w:rsidRPr="0071684F">
        <w:rPr>
          <w:rFonts w:cs="Arial"/>
          <w:i/>
          <w:iCs/>
          <w:lang w:val="es-SV"/>
        </w:rPr>
        <w:t>mejorar</w:t>
      </w:r>
      <w:r w:rsidR="00F94A68" w:rsidRPr="0071684F">
        <w:rPr>
          <w:rFonts w:cs="Arial"/>
          <w:i/>
          <w:iCs/>
          <w:lang w:val="es-SV"/>
        </w:rPr>
        <w:t xml:space="preserve"> las perspectivas de crecimiento de mediano-plazo y continuar fortaleciendo </w:t>
      </w:r>
      <w:r w:rsidR="009004C5">
        <w:rPr>
          <w:rFonts w:cs="Arial"/>
          <w:i/>
          <w:iCs/>
          <w:lang w:val="es-SV"/>
        </w:rPr>
        <w:t xml:space="preserve">la </w:t>
      </w:r>
      <w:r w:rsidR="00F94A68" w:rsidRPr="0071684F">
        <w:rPr>
          <w:rFonts w:cs="Arial"/>
          <w:i/>
          <w:iCs/>
          <w:lang w:val="es-SV"/>
        </w:rPr>
        <w:t>resiliencia</w:t>
      </w:r>
      <w:r w:rsidR="00E92C88">
        <w:rPr>
          <w:rFonts w:cs="Arial"/>
          <w:i/>
          <w:iCs/>
          <w:lang w:val="es-SV"/>
        </w:rPr>
        <w:t xml:space="preserve"> econ</w:t>
      </w:r>
      <w:r w:rsidR="00B0562F">
        <w:rPr>
          <w:rFonts w:cs="Arial"/>
          <w:i/>
          <w:iCs/>
          <w:lang w:val="es-SV"/>
        </w:rPr>
        <w:t>ómica</w:t>
      </w:r>
      <w:r w:rsidR="00F94A68" w:rsidRPr="0071684F">
        <w:rPr>
          <w:rFonts w:cs="Arial"/>
          <w:i/>
          <w:iCs/>
          <w:lang w:val="es-SV"/>
        </w:rPr>
        <w:t xml:space="preserve">, incluyendo a </w:t>
      </w:r>
      <w:r w:rsidR="007B5E32" w:rsidRPr="0071684F">
        <w:rPr>
          <w:rFonts w:cs="Arial"/>
          <w:i/>
          <w:iCs/>
          <w:lang w:val="es-SV"/>
        </w:rPr>
        <w:t>desastres naturales</w:t>
      </w:r>
      <w:r w:rsidR="00181FD8" w:rsidRPr="0071684F">
        <w:rPr>
          <w:rFonts w:cs="Arial"/>
          <w:i/>
          <w:iCs/>
          <w:lang w:val="es-SV"/>
        </w:rPr>
        <w:t>.</w:t>
      </w:r>
    </w:p>
    <w:p w14:paraId="3E97C8EA" w14:textId="632934DA" w:rsidR="00D617C9" w:rsidRPr="00FB3744" w:rsidRDefault="00D617C9" w:rsidP="00D617C9">
      <w:pPr>
        <w:rPr>
          <w:rFonts w:cs="Arial"/>
          <w:lang w:val="es-ES"/>
        </w:rPr>
      </w:pPr>
      <w:r w:rsidRPr="0071684F">
        <w:rPr>
          <w:rFonts w:cs="Arial"/>
          <w:b/>
          <w:bCs/>
          <w:lang w:val="es-SV"/>
        </w:rPr>
        <w:t xml:space="preserve">Washington, DC </w:t>
      </w:r>
      <w:r w:rsidR="00CA6876" w:rsidRPr="0071684F">
        <w:rPr>
          <w:rFonts w:cs="Arial"/>
          <w:lang w:val="es-ES"/>
        </w:rPr>
        <w:t xml:space="preserve">– </w:t>
      </w:r>
      <w:r w:rsidR="00CA6876" w:rsidRPr="0071684F">
        <w:rPr>
          <w:rFonts w:cs="Arial"/>
          <w:b/>
          <w:bCs/>
          <w:lang w:val="es-ES"/>
        </w:rPr>
        <w:t>12 de noviembre de 2025:</w:t>
      </w:r>
      <w:r w:rsidR="00CA6876" w:rsidRPr="0071684F">
        <w:rPr>
          <w:rFonts w:cs="Arial"/>
          <w:lang w:val="es-ES"/>
        </w:rPr>
        <w:t xml:space="preserve"> El </w:t>
      </w:r>
      <w:proofErr w:type="gramStart"/>
      <w:r w:rsidR="00CA6876" w:rsidRPr="0071684F">
        <w:rPr>
          <w:rFonts w:cs="Arial"/>
          <w:lang w:val="es-ES"/>
        </w:rPr>
        <w:t>Directorio Ejecutivo</w:t>
      </w:r>
      <w:proofErr w:type="gramEnd"/>
      <w:r w:rsidR="00CA6876" w:rsidRPr="0071684F">
        <w:rPr>
          <w:rFonts w:cs="Arial"/>
          <w:lang w:val="es-ES"/>
        </w:rPr>
        <w:t xml:space="preserve"> del Fondo Monetario Internacional (FMI) concluyó la Consulta del Artículo IV</w:t>
      </w:r>
      <w:r w:rsidR="00FB3744">
        <w:rPr>
          <w:rFonts w:cs="Arial"/>
          <w:lang w:val="es-ES"/>
        </w:rPr>
        <w:t xml:space="preserve"> </w:t>
      </w:r>
      <w:r w:rsidR="00CA6876" w:rsidRPr="0071684F">
        <w:rPr>
          <w:rFonts w:cs="Arial"/>
          <w:lang w:val="es-ES"/>
        </w:rPr>
        <w:t>con República Dominicana</w:t>
      </w:r>
      <w:r w:rsidR="007E26CF" w:rsidRPr="0071684F">
        <w:rPr>
          <w:rStyle w:val="FootnoteReference"/>
          <w:rFonts w:cs="Arial"/>
          <w:szCs w:val="20"/>
        </w:rPr>
        <w:footnoteReference w:id="1"/>
      </w:r>
      <w:r w:rsidR="007E26CF" w:rsidRPr="0071684F">
        <w:rPr>
          <w:rFonts w:cs="Arial"/>
          <w:lang w:val="es-ES"/>
        </w:rPr>
        <w:t xml:space="preserve"> </w:t>
      </w:r>
      <w:r w:rsidR="00CA6876" w:rsidRPr="0071684F">
        <w:rPr>
          <w:rFonts w:cs="Arial"/>
          <w:lang w:val="es-ES"/>
        </w:rPr>
        <w:t xml:space="preserve"> el 12 de </w:t>
      </w:r>
      <w:r w:rsidR="00D43A92" w:rsidRPr="0071684F">
        <w:rPr>
          <w:rFonts w:cs="Arial"/>
          <w:color w:val="2C2825"/>
          <w:shd w:val="clear" w:color="auto" w:fill="FFFFFF"/>
          <w:lang w:val="es-SV"/>
        </w:rPr>
        <w:t>noviembre</w:t>
      </w:r>
      <w:r w:rsidR="003D6E63" w:rsidRPr="0071684F">
        <w:rPr>
          <w:rFonts w:cs="Arial"/>
          <w:color w:val="2C2825"/>
          <w:shd w:val="clear" w:color="auto" w:fill="FFFFFF"/>
          <w:lang w:val="es-SV"/>
        </w:rPr>
        <w:t xml:space="preserve"> </w:t>
      </w:r>
      <w:r w:rsidR="00CA6876" w:rsidRPr="0071684F">
        <w:rPr>
          <w:rFonts w:cs="Arial"/>
          <w:color w:val="2C2825"/>
          <w:shd w:val="clear" w:color="auto" w:fill="FFFFFF"/>
          <w:lang w:val="es-SV"/>
        </w:rPr>
        <w:t>de</w:t>
      </w:r>
      <w:r w:rsidR="003D6E63" w:rsidRPr="0071684F">
        <w:rPr>
          <w:rFonts w:cs="Arial"/>
          <w:color w:val="2C2825"/>
          <w:shd w:val="clear" w:color="auto" w:fill="FFFFFF"/>
          <w:lang w:val="es-SV"/>
        </w:rPr>
        <w:t xml:space="preserve"> 2025.</w:t>
      </w:r>
      <w:r w:rsidR="0071684F" w:rsidRPr="0071684F">
        <w:rPr>
          <w:rStyle w:val="FootnoteReference"/>
          <w:rFonts w:cs="Arial"/>
          <w:szCs w:val="20"/>
          <w:lang w:val="es-SV"/>
        </w:rPr>
        <w:t xml:space="preserve"> </w:t>
      </w:r>
      <w:r w:rsidR="00FB3744" w:rsidRPr="00FB3744">
        <w:rPr>
          <w:rFonts w:cs="Arial"/>
          <w:lang w:val="es-ES"/>
        </w:rPr>
        <w:t>Las autoridades necesitan más tiempo para considerar la publicación del informe preparado por el personal técnico para esta consulta</w:t>
      </w:r>
      <w:r w:rsidR="00FB3744" w:rsidRPr="00FB3744">
        <w:rPr>
          <w:rStyle w:val="FootnoteReference"/>
          <w:szCs w:val="20"/>
        </w:rPr>
        <w:footnoteReference w:id="2"/>
      </w:r>
      <w:r w:rsidR="00FB3744" w:rsidRPr="00FB3744">
        <w:rPr>
          <w:rFonts w:cs="Arial"/>
          <w:lang w:val="es-ES"/>
        </w:rPr>
        <w:t>.</w:t>
      </w:r>
    </w:p>
    <w:p w14:paraId="0C410750" w14:textId="50868D78" w:rsidR="00F801EB" w:rsidRPr="008052E8" w:rsidRDefault="00D87C25" w:rsidP="00D617C9">
      <w:pPr>
        <w:rPr>
          <w:rFonts w:cs="Arial"/>
          <w:lang w:val="es-ES"/>
        </w:rPr>
      </w:pPr>
      <w:r w:rsidRPr="008052E8">
        <w:rPr>
          <w:rFonts w:cs="Arial"/>
          <w:lang w:val="es-ES"/>
        </w:rPr>
        <w:t xml:space="preserve">El crecimiento económico de República Dominicana se desaceleró a finales de 2024 y </w:t>
      </w:r>
      <w:r w:rsidR="001D3333">
        <w:rPr>
          <w:rFonts w:cs="Arial"/>
          <w:lang w:val="es-ES"/>
        </w:rPr>
        <w:t>el primer semestre</w:t>
      </w:r>
      <w:r w:rsidRPr="008052E8">
        <w:rPr>
          <w:rFonts w:cs="Arial"/>
          <w:lang w:val="es-ES"/>
        </w:rPr>
        <w:t xml:space="preserve"> de 2025 debido principalmente al aumento de la incertidumbre</w:t>
      </w:r>
      <w:r w:rsidR="00952B7A">
        <w:rPr>
          <w:rFonts w:cs="Arial"/>
          <w:lang w:val="es-ES"/>
        </w:rPr>
        <w:t xml:space="preserve"> y </w:t>
      </w:r>
      <w:r w:rsidR="00952B7A" w:rsidRPr="008052E8">
        <w:rPr>
          <w:rFonts w:cs="Arial"/>
          <w:lang w:val="es-ES"/>
        </w:rPr>
        <w:t>a condiciones financieras más restrictivas</w:t>
      </w:r>
      <w:r w:rsidRPr="008052E8">
        <w:rPr>
          <w:rFonts w:cs="Arial"/>
          <w:lang w:val="es-ES"/>
        </w:rPr>
        <w:t xml:space="preserve">. </w:t>
      </w:r>
      <w:r w:rsidR="005A2D90" w:rsidRPr="008052E8">
        <w:rPr>
          <w:rFonts w:cs="Arial"/>
          <w:lang w:val="es-ES"/>
        </w:rPr>
        <w:t>Existen indicios preliminares que la actividad económica está repuntando</w:t>
      </w:r>
      <w:r w:rsidR="005C3CCA" w:rsidRPr="005C3CCA">
        <w:rPr>
          <w:rFonts w:cs="Arial"/>
          <w:lang w:val="es-ES"/>
        </w:rPr>
        <w:t xml:space="preserve"> </w:t>
      </w:r>
      <w:r w:rsidR="005C3CCA" w:rsidRPr="008052E8">
        <w:rPr>
          <w:rFonts w:cs="Arial"/>
          <w:lang w:val="es-ES"/>
        </w:rPr>
        <w:t>sustentad</w:t>
      </w:r>
      <w:r w:rsidR="005C3CCA">
        <w:rPr>
          <w:rFonts w:cs="Arial"/>
          <w:lang w:val="es-ES"/>
        </w:rPr>
        <w:t>a</w:t>
      </w:r>
      <w:r w:rsidR="005C3CCA" w:rsidRPr="008052E8">
        <w:rPr>
          <w:rFonts w:cs="Arial"/>
          <w:lang w:val="es-ES"/>
        </w:rPr>
        <w:t xml:space="preserve"> por el apoyo de las políticas monetaria y fiscal</w:t>
      </w:r>
      <w:r w:rsidR="005A2D90" w:rsidRPr="008052E8">
        <w:rPr>
          <w:rFonts w:cs="Arial"/>
          <w:lang w:val="es-ES"/>
        </w:rPr>
        <w:t>, con el crédito, las exportaciones, y el crecimiento de</w:t>
      </w:r>
      <w:r w:rsidR="00B109EA">
        <w:rPr>
          <w:rFonts w:cs="Arial"/>
          <w:lang w:val="es-ES"/>
        </w:rPr>
        <w:t>l</w:t>
      </w:r>
      <w:r w:rsidR="005A2D90" w:rsidRPr="008052E8">
        <w:rPr>
          <w:rFonts w:cs="Arial"/>
          <w:lang w:val="es-ES"/>
        </w:rPr>
        <w:t xml:space="preserve"> turismo todos mejorando en meses recientes</w:t>
      </w:r>
      <w:r w:rsidR="005C3CCA">
        <w:rPr>
          <w:rFonts w:cs="Arial"/>
          <w:lang w:val="es-ES"/>
        </w:rPr>
        <w:t>.</w:t>
      </w:r>
      <w:r w:rsidR="005A2D90" w:rsidRPr="008052E8">
        <w:rPr>
          <w:rFonts w:cs="Arial"/>
          <w:lang w:val="es-ES"/>
        </w:rPr>
        <w:t xml:space="preserve"> La inflación se mantiene cercana a la meta </w:t>
      </w:r>
      <w:r w:rsidR="00515512">
        <w:rPr>
          <w:rFonts w:cs="Arial"/>
          <w:lang w:val="es-ES"/>
        </w:rPr>
        <w:t xml:space="preserve">y se espera que promedie </w:t>
      </w:r>
      <w:r w:rsidR="005A2D90" w:rsidRPr="008052E8">
        <w:rPr>
          <w:rFonts w:cs="Arial"/>
          <w:lang w:val="es-ES"/>
        </w:rPr>
        <w:t xml:space="preserve">3.7 por ciento en 2025. La posición externa está en línea con los fundamentos </w:t>
      </w:r>
      <w:r w:rsidR="00792466" w:rsidRPr="008052E8">
        <w:rPr>
          <w:rFonts w:cs="Arial"/>
          <w:lang w:val="es-ES"/>
        </w:rPr>
        <w:t xml:space="preserve">económicos </w:t>
      </w:r>
      <w:r w:rsidR="005A2D90" w:rsidRPr="008052E8">
        <w:rPr>
          <w:rFonts w:cs="Arial"/>
          <w:lang w:val="es-ES"/>
        </w:rPr>
        <w:t xml:space="preserve">y políticas </w:t>
      </w:r>
      <w:r w:rsidR="00C63C72">
        <w:rPr>
          <w:rFonts w:cs="Arial"/>
          <w:lang w:val="es-ES"/>
        </w:rPr>
        <w:t>recomend</w:t>
      </w:r>
      <w:r w:rsidR="005A2D90" w:rsidRPr="008052E8">
        <w:rPr>
          <w:rFonts w:cs="Arial"/>
          <w:lang w:val="es-ES"/>
        </w:rPr>
        <w:t>adas.</w:t>
      </w:r>
      <w:r w:rsidRPr="008052E8">
        <w:rPr>
          <w:rFonts w:cs="Arial"/>
          <w:lang w:val="es-ES"/>
        </w:rPr>
        <w:t xml:space="preserve"> </w:t>
      </w:r>
      <w:r w:rsidR="00792466" w:rsidRPr="008052E8">
        <w:rPr>
          <w:rFonts w:cs="Arial"/>
          <w:lang w:val="es-ES"/>
        </w:rPr>
        <w:t xml:space="preserve">Se espera que el déficit de cuenta corriente se reduzca aún más este año llegando a 2.5 por ciento del PIB, apoyado por </w:t>
      </w:r>
      <w:r w:rsidR="00EB5981">
        <w:rPr>
          <w:rFonts w:cs="Arial"/>
          <w:lang w:val="es-ES"/>
        </w:rPr>
        <w:t xml:space="preserve">la </w:t>
      </w:r>
      <w:r w:rsidR="00792466" w:rsidRPr="008052E8">
        <w:rPr>
          <w:rFonts w:cs="Arial"/>
          <w:lang w:val="es-ES"/>
        </w:rPr>
        <w:t>s</w:t>
      </w:r>
      <w:r w:rsidR="00EB5981">
        <w:rPr>
          <w:rFonts w:cs="Arial"/>
          <w:lang w:val="es-ES"/>
        </w:rPr>
        <w:t>olidez de las</w:t>
      </w:r>
      <w:r w:rsidR="00792466" w:rsidRPr="008052E8">
        <w:rPr>
          <w:rFonts w:cs="Arial"/>
          <w:lang w:val="es-ES"/>
        </w:rPr>
        <w:t xml:space="preserve"> exportaciones y </w:t>
      </w:r>
      <w:r w:rsidR="009F6780">
        <w:rPr>
          <w:rFonts w:cs="Arial"/>
          <w:lang w:val="es-ES"/>
        </w:rPr>
        <w:t xml:space="preserve">las </w:t>
      </w:r>
      <w:r w:rsidR="00792466" w:rsidRPr="008052E8">
        <w:rPr>
          <w:rFonts w:cs="Arial"/>
          <w:lang w:val="es-ES"/>
        </w:rPr>
        <w:t>remesas, y que esté completamente financiado por inversión extranjera directa (IED).</w:t>
      </w:r>
    </w:p>
    <w:p w14:paraId="4C081788" w14:textId="5D336D6A" w:rsidR="00C9713F" w:rsidRPr="008052E8" w:rsidRDefault="000B6E7F" w:rsidP="00D617C9">
      <w:pPr>
        <w:rPr>
          <w:rFonts w:cs="Arial"/>
          <w:lang w:val="es-ES"/>
        </w:rPr>
      </w:pPr>
      <w:r w:rsidRPr="008052E8">
        <w:rPr>
          <w:rFonts w:cs="Arial"/>
          <w:lang w:val="es-ES"/>
        </w:rPr>
        <w:t xml:space="preserve">Se </w:t>
      </w:r>
      <w:r w:rsidR="00F6163B">
        <w:rPr>
          <w:rFonts w:cs="Arial"/>
          <w:lang w:val="es-ES"/>
        </w:rPr>
        <w:t>prevé</w:t>
      </w:r>
      <w:r w:rsidRPr="008052E8">
        <w:rPr>
          <w:rFonts w:cs="Arial"/>
          <w:lang w:val="es-ES"/>
        </w:rPr>
        <w:t xml:space="preserve"> que el crecimiento se acelere </w:t>
      </w:r>
      <w:r w:rsidR="00F6163B">
        <w:rPr>
          <w:rFonts w:cs="Arial"/>
          <w:lang w:val="es-ES"/>
        </w:rPr>
        <w:t>hasta el</w:t>
      </w:r>
      <w:r w:rsidRPr="008052E8">
        <w:rPr>
          <w:rFonts w:cs="Arial"/>
          <w:lang w:val="es-ES"/>
        </w:rPr>
        <w:t xml:space="preserve"> 4.5 por ciento en 2026</w:t>
      </w:r>
      <w:r w:rsidR="00F6163B">
        <w:rPr>
          <w:rFonts w:cs="Arial"/>
          <w:lang w:val="es-ES"/>
        </w:rPr>
        <w:t>,</w:t>
      </w:r>
      <w:r w:rsidRPr="008052E8">
        <w:rPr>
          <w:rFonts w:cs="Arial"/>
          <w:lang w:val="es-ES"/>
        </w:rPr>
        <w:t xml:space="preserve"> y que luego converja a su tendencia de largo plazo de</w:t>
      </w:r>
      <w:r w:rsidR="007C6428">
        <w:rPr>
          <w:rFonts w:cs="Arial"/>
          <w:lang w:val="es-ES"/>
        </w:rPr>
        <w:t>l</w:t>
      </w:r>
      <w:r w:rsidRPr="008052E8">
        <w:rPr>
          <w:rFonts w:cs="Arial"/>
          <w:lang w:val="es-ES"/>
        </w:rPr>
        <w:t xml:space="preserve"> 5 por ciento, </w:t>
      </w:r>
      <w:r w:rsidR="007C6428">
        <w:rPr>
          <w:rFonts w:cs="Arial"/>
          <w:lang w:val="es-ES"/>
        </w:rPr>
        <w:t>en tanto</w:t>
      </w:r>
      <w:r w:rsidRPr="008052E8">
        <w:rPr>
          <w:rFonts w:cs="Arial"/>
          <w:lang w:val="es-ES"/>
        </w:rPr>
        <w:t xml:space="preserve"> </w:t>
      </w:r>
      <w:r w:rsidR="00204BBB">
        <w:rPr>
          <w:rFonts w:cs="Arial"/>
          <w:lang w:val="es-ES"/>
        </w:rPr>
        <w:t xml:space="preserve">que </w:t>
      </w:r>
      <w:r w:rsidR="0039260A" w:rsidRPr="008052E8">
        <w:rPr>
          <w:rFonts w:cs="Arial"/>
          <w:lang w:val="es-ES"/>
        </w:rPr>
        <w:t xml:space="preserve">se proyecta </w:t>
      </w:r>
      <w:r w:rsidR="00D90E55">
        <w:rPr>
          <w:rFonts w:cs="Arial"/>
          <w:lang w:val="es-ES"/>
        </w:rPr>
        <w:t xml:space="preserve">que </w:t>
      </w:r>
      <w:r w:rsidRPr="008052E8">
        <w:rPr>
          <w:rFonts w:cs="Arial"/>
          <w:lang w:val="es-ES"/>
        </w:rPr>
        <w:t>la inflación se mantendrá alrededor de la meta de 4</w:t>
      </w:r>
      <w:r w:rsidR="00F31983" w:rsidRPr="008052E8">
        <w:rPr>
          <w:rFonts w:cs="Arial"/>
          <w:lang w:val="es-ES"/>
        </w:rPr>
        <w:t xml:space="preserve">±1 </w:t>
      </w:r>
      <w:r w:rsidRPr="008052E8">
        <w:rPr>
          <w:rFonts w:cs="Arial"/>
          <w:lang w:val="es-ES"/>
        </w:rPr>
        <w:t xml:space="preserve">por ciento. Se </w:t>
      </w:r>
      <w:r w:rsidR="007C6428">
        <w:rPr>
          <w:rFonts w:cs="Arial"/>
          <w:lang w:val="es-ES"/>
        </w:rPr>
        <w:t>prevé</w:t>
      </w:r>
      <w:r w:rsidRPr="008052E8">
        <w:rPr>
          <w:rFonts w:cs="Arial"/>
          <w:lang w:val="es-ES"/>
        </w:rPr>
        <w:t xml:space="preserve"> que el déficit de cuenta corriente </w:t>
      </w:r>
      <w:r w:rsidRPr="008052E8">
        <w:rPr>
          <w:rFonts w:cs="Arial"/>
          <w:lang w:val="es-ES"/>
        </w:rPr>
        <w:lastRenderedPageBreak/>
        <w:t xml:space="preserve">se mantenga alrededor de 2.5 por ciento del PIB y que siga </w:t>
      </w:r>
      <w:r w:rsidR="007D5373">
        <w:rPr>
          <w:rFonts w:cs="Arial"/>
          <w:lang w:val="es-ES"/>
        </w:rPr>
        <w:t>estando plen</w:t>
      </w:r>
      <w:r w:rsidRPr="008052E8">
        <w:rPr>
          <w:rFonts w:cs="Arial"/>
          <w:lang w:val="es-ES"/>
        </w:rPr>
        <w:t xml:space="preserve">amente financiado por </w:t>
      </w:r>
      <w:r w:rsidR="00B30F34">
        <w:rPr>
          <w:rFonts w:cs="Arial"/>
          <w:lang w:val="es-ES"/>
        </w:rPr>
        <w:t xml:space="preserve">la </w:t>
      </w:r>
      <w:r w:rsidRPr="008052E8">
        <w:rPr>
          <w:rFonts w:cs="Arial"/>
          <w:lang w:val="es-ES"/>
        </w:rPr>
        <w:t>IED. El déficit y la deuda del gobierno se proyecta</w:t>
      </w:r>
      <w:r w:rsidR="004F7DEC">
        <w:rPr>
          <w:rFonts w:cs="Arial"/>
          <w:lang w:val="es-ES"/>
        </w:rPr>
        <w:t>n</w:t>
      </w:r>
      <w:r w:rsidRPr="008052E8">
        <w:rPr>
          <w:rFonts w:cs="Arial"/>
          <w:lang w:val="es-ES"/>
        </w:rPr>
        <w:t xml:space="preserve"> </w:t>
      </w:r>
      <w:r w:rsidR="00C443FD">
        <w:rPr>
          <w:rFonts w:cs="Arial"/>
          <w:lang w:val="es-ES"/>
        </w:rPr>
        <w:t>en una senda gradualmente descendente</w:t>
      </w:r>
      <w:r w:rsidRPr="008052E8">
        <w:rPr>
          <w:rFonts w:cs="Arial"/>
          <w:lang w:val="es-ES"/>
        </w:rPr>
        <w:t xml:space="preserve">, debido en parte, a la reducción esperada de las pérdidas del sector eléctrico y </w:t>
      </w:r>
      <w:r w:rsidR="007A0190" w:rsidRPr="008052E8">
        <w:rPr>
          <w:rFonts w:cs="Arial"/>
          <w:lang w:val="es-ES"/>
        </w:rPr>
        <w:t>una</w:t>
      </w:r>
      <w:r w:rsidRPr="008052E8">
        <w:rPr>
          <w:rFonts w:cs="Arial"/>
          <w:lang w:val="es-ES"/>
        </w:rPr>
        <w:t xml:space="preserve"> mejor focalización de los subsidios </w:t>
      </w:r>
      <w:r w:rsidR="006E6AE6" w:rsidRPr="008052E8">
        <w:rPr>
          <w:rFonts w:cs="Arial"/>
          <w:lang w:val="es-ES"/>
        </w:rPr>
        <w:t>a la energía eléctrica y los combustibles</w:t>
      </w:r>
      <w:r w:rsidRPr="008052E8">
        <w:rPr>
          <w:rFonts w:cs="Arial"/>
          <w:lang w:val="es-ES"/>
        </w:rPr>
        <w:t xml:space="preserve">. Esto contribuirá a crear espacio fiscal para </w:t>
      </w:r>
      <w:r w:rsidR="007A0190" w:rsidRPr="008052E8">
        <w:rPr>
          <w:rFonts w:cs="Arial"/>
          <w:lang w:val="es-ES"/>
        </w:rPr>
        <w:t xml:space="preserve">el aumento </w:t>
      </w:r>
      <w:r w:rsidR="00446C3B">
        <w:rPr>
          <w:rFonts w:cs="Arial"/>
          <w:lang w:val="es-ES"/>
        </w:rPr>
        <w:t>programa</w:t>
      </w:r>
      <w:r w:rsidR="007A0190" w:rsidRPr="008052E8">
        <w:rPr>
          <w:rFonts w:cs="Arial"/>
          <w:lang w:val="es-ES"/>
        </w:rPr>
        <w:t>do de la inversión pública.</w:t>
      </w:r>
    </w:p>
    <w:p w14:paraId="63A708D2" w14:textId="69BA1017" w:rsidR="006371D1" w:rsidRPr="008052E8" w:rsidRDefault="00D43A92" w:rsidP="00D617C9">
      <w:pPr>
        <w:rPr>
          <w:rFonts w:cs="Arial"/>
          <w:lang w:val="es-ES"/>
        </w:rPr>
      </w:pPr>
      <w:r w:rsidRPr="008052E8">
        <w:rPr>
          <w:rFonts w:cs="Arial"/>
          <w:lang w:val="es-ES"/>
        </w:rPr>
        <w:t>El balance de riesgos está sesgado a la baja, pero República Dominicana está bien posicionada para afrontarlos.</w:t>
      </w:r>
      <w:r w:rsidR="002D38CB" w:rsidRPr="008052E8">
        <w:rPr>
          <w:rFonts w:cs="Arial"/>
          <w:lang w:val="es-ES"/>
        </w:rPr>
        <w:t xml:space="preserve"> </w:t>
      </w:r>
      <w:r w:rsidR="00192315" w:rsidRPr="00192315">
        <w:rPr>
          <w:rFonts w:cs="Arial"/>
          <w:lang w:val="es-ES"/>
        </w:rPr>
        <w:t>Persisten los riesgos</w:t>
      </w:r>
      <w:r w:rsidR="00192315" w:rsidRPr="008052E8">
        <w:rPr>
          <w:rFonts w:cs="Arial"/>
          <w:lang w:val="es-ES"/>
        </w:rPr>
        <w:t xml:space="preserve"> </w:t>
      </w:r>
      <w:r w:rsidR="002D38CB" w:rsidRPr="008052E8">
        <w:rPr>
          <w:rFonts w:cs="Arial"/>
          <w:lang w:val="es-ES"/>
        </w:rPr>
        <w:t xml:space="preserve">externos asociados a </w:t>
      </w:r>
      <w:r w:rsidR="00D234EB">
        <w:rPr>
          <w:rFonts w:cs="Arial"/>
          <w:lang w:val="es-ES"/>
        </w:rPr>
        <w:t xml:space="preserve">las </w:t>
      </w:r>
      <w:r w:rsidR="002D38CB" w:rsidRPr="008052E8">
        <w:rPr>
          <w:rFonts w:cs="Arial"/>
          <w:lang w:val="es-ES"/>
        </w:rPr>
        <w:t xml:space="preserve">condiciones financieras </w:t>
      </w:r>
      <w:r w:rsidR="00D234EB">
        <w:rPr>
          <w:rFonts w:cs="Arial"/>
          <w:lang w:val="es-ES"/>
        </w:rPr>
        <w:t>mundia</w:t>
      </w:r>
      <w:r w:rsidR="002D38CB" w:rsidRPr="008052E8">
        <w:rPr>
          <w:rFonts w:cs="Arial"/>
          <w:lang w:val="es-ES"/>
        </w:rPr>
        <w:t xml:space="preserve">les y </w:t>
      </w:r>
      <w:r w:rsidR="004F3CBA">
        <w:rPr>
          <w:rFonts w:cs="Arial"/>
          <w:lang w:val="es-ES"/>
        </w:rPr>
        <w:t xml:space="preserve">la </w:t>
      </w:r>
      <w:r w:rsidR="002D38CB" w:rsidRPr="008052E8">
        <w:rPr>
          <w:rFonts w:cs="Arial"/>
          <w:lang w:val="es-ES"/>
        </w:rPr>
        <w:t>elevada incertidumbre</w:t>
      </w:r>
      <w:r w:rsidR="004F3CBA">
        <w:rPr>
          <w:rFonts w:cs="Arial"/>
          <w:lang w:val="es-ES"/>
        </w:rPr>
        <w:t>,</w:t>
      </w:r>
      <w:r w:rsidR="002D38CB" w:rsidRPr="008052E8">
        <w:rPr>
          <w:rFonts w:cs="Arial"/>
          <w:lang w:val="es-ES"/>
        </w:rPr>
        <w:t xml:space="preserve"> </w:t>
      </w:r>
      <w:r w:rsidR="004F3CBA">
        <w:rPr>
          <w:rFonts w:cs="Arial"/>
          <w:lang w:val="es-ES"/>
        </w:rPr>
        <w:t>así como</w:t>
      </w:r>
      <w:r w:rsidR="002D38CB" w:rsidRPr="008052E8">
        <w:rPr>
          <w:rFonts w:cs="Arial"/>
          <w:lang w:val="es-ES"/>
        </w:rPr>
        <w:t xml:space="preserve"> la vulnerabilidad de República Dominicana a desastres naturales. Sin embargo, </w:t>
      </w:r>
      <w:r w:rsidR="00DB3E7C">
        <w:rPr>
          <w:rFonts w:cs="Arial"/>
          <w:lang w:val="es-ES"/>
        </w:rPr>
        <w:t>el país cuenta con</w:t>
      </w:r>
      <w:r w:rsidR="002D38CB" w:rsidRPr="008052E8">
        <w:rPr>
          <w:rFonts w:cs="Arial"/>
          <w:lang w:val="es-ES"/>
        </w:rPr>
        <w:t xml:space="preserve"> fundamentos económicos </w:t>
      </w:r>
      <w:r w:rsidR="00DB3E7C" w:rsidRPr="008052E8">
        <w:rPr>
          <w:rFonts w:cs="Arial"/>
          <w:lang w:val="es-ES"/>
        </w:rPr>
        <w:t xml:space="preserve">fuertes </w:t>
      </w:r>
      <w:r w:rsidR="002D38CB" w:rsidRPr="008052E8">
        <w:rPr>
          <w:rFonts w:cs="Arial"/>
          <w:lang w:val="es-ES"/>
        </w:rPr>
        <w:t xml:space="preserve">y espacio de política para responder en caso de que estos riesgos </w:t>
      </w:r>
      <w:r w:rsidR="002B3BD1">
        <w:rPr>
          <w:rFonts w:cs="Arial"/>
          <w:lang w:val="es-ES"/>
        </w:rPr>
        <w:t>llegaran a</w:t>
      </w:r>
      <w:r w:rsidR="002D38CB" w:rsidRPr="008052E8">
        <w:rPr>
          <w:rFonts w:cs="Arial"/>
          <w:lang w:val="es-ES"/>
        </w:rPr>
        <w:t xml:space="preserve"> materiali</w:t>
      </w:r>
      <w:r w:rsidR="002B3BD1">
        <w:rPr>
          <w:rFonts w:cs="Arial"/>
          <w:lang w:val="es-ES"/>
        </w:rPr>
        <w:t>zarse</w:t>
      </w:r>
      <w:r w:rsidR="002D38CB" w:rsidRPr="008052E8">
        <w:rPr>
          <w:rFonts w:cs="Arial"/>
          <w:lang w:val="es-ES"/>
        </w:rPr>
        <w:t xml:space="preserve">. </w:t>
      </w:r>
      <w:r w:rsidR="002B3BD1">
        <w:rPr>
          <w:rFonts w:cs="Arial"/>
          <w:lang w:val="es-ES"/>
        </w:rPr>
        <w:t>Por e</w:t>
      </w:r>
      <w:r w:rsidR="002D38CB" w:rsidRPr="008052E8">
        <w:rPr>
          <w:rFonts w:cs="Arial"/>
          <w:lang w:val="es-ES"/>
        </w:rPr>
        <w:t xml:space="preserve">l lado positivo, </w:t>
      </w:r>
      <w:r w:rsidR="002B3BD1" w:rsidRPr="008052E8">
        <w:rPr>
          <w:rFonts w:cs="Arial"/>
          <w:lang w:val="es-ES"/>
        </w:rPr>
        <w:t>República Dominicana</w:t>
      </w:r>
      <w:r w:rsidR="002D38CB" w:rsidRPr="008052E8">
        <w:rPr>
          <w:rFonts w:cs="Arial"/>
          <w:lang w:val="es-ES"/>
        </w:rPr>
        <w:t xml:space="preserve"> podría beneficiar</w:t>
      </w:r>
      <w:r w:rsidR="00ED3C64">
        <w:rPr>
          <w:rFonts w:cs="Arial"/>
          <w:lang w:val="es-ES"/>
        </w:rPr>
        <w:t>se</w:t>
      </w:r>
      <w:r w:rsidR="002D38CB" w:rsidRPr="008052E8">
        <w:rPr>
          <w:rFonts w:cs="Arial"/>
          <w:lang w:val="es-ES"/>
        </w:rPr>
        <w:t xml:space="preserve"> de la desviación de comercio y </w:t>
      </w:r>
      <w:r w:rsidR="00ED3C64">
        <w:rPr>
          <w:rFonts w:cs="Arial"/>
          <w:lang w:val="es-ES"/>
        </w:rPr>
        <w:t xml:space="preserve">los </w:t>
      </w:r>
      <w:r w:rsidR="002D38CB" w:rsidRPr="008052E8">
        <w:rPr>
          <w:rFonts w:cs="Arial"/>
          <w:lang w:val="es-ES"/>
        </w:rPr>
        <w:t xml:space="preserve">flujos de IED dado los cambios en las políticas comerciales </w:t>
      </w:r>
      <w:r w:rsidR="00EC141A">
        <w:rPr>
          <w:rFonts w:cs="Arial"/>
          <w:lang w:val="es-ES"/>
        </w:rPr>
        <w:t>mundi</w:t>
      </w:r>
      <w:r w:rsidR="002D38CB" w:rsidRPr="008052E8">
        <w:rPr>
          <w:rFonts w:cs="Arial"/>
          <w:lang w:val="es-ES"/>
        </w:rPr>
        <w:t xml:space="preserve">ales. </w:t>
      </w:r>
      <w:r w:rsidR="00EC141A">
        <w:rPr>
          <w:rFonts w:cs="Arial"/>
          <w:lang w:val="es-ES"/>
        </w:rPr>
        <w:t>En el plano interno</w:t>
      </w:r>
      <w:r w:rsidR="001836CA" w:rsidRPr="008052E8">
        <w:rPr>
          <w:rFonts w:cs="Arial"/>
          <w:lang w:val="es-ES"/>
        </w:rPr>
        <w:t xml:space="preserve">, </w:t>
      </w:r>
      <w:r w:rsidR="00EC141A">
        <w:rPr>
          <w:rFonts w:cs="Arial"/>
          <w:lang w:val="es-ES"/>
        </w:rPr>
        <w:t>el retraso</w:t>
      </w:r>
      <w:r w:rsidR="001836CA" w:rsidRPr="008052E8">
        <w:rPr>
          <w:rFonts w:cs="Arial"/>
          <w:lang w:val="es-ES"/>
        </w:rPr>
        <w:t xml:space="preserve"> en la implementación</w:t>
      </w:r>
      <w:r w:rsidR="009567A4">
        <w:rPr>
          <w:rFonts w:cs="Arial"/>
          <w:lang w:val="es-ES"/>
        </w:rPr>
        <w:t xml:space="preserve"> de</w:t>
      </w:r>
      <w:r w:rsidR="001836CA" w:rsidRPr="008052E8">
        <w:rPr>
          <w:rFonts w:cs="Arial"/>
          <w:lang w:val="es-ES"/>
        </w:rPr>
        <w:t xml:space="preserve"> </w:t>
      </w:r>
      <w:r w:rsidR="009567A4" w:rsidRPr="008052E8">
        <w:rPr>
          <w:rFonts w:cs="Arial"/>
          <w:lang w:val="es-ES"/>
        </w:rPr>
        <w:t xml:space="preserve">los planes </w:t>
      </w:r>
      <w:r w:rsidR="001836CA" w:rsidRPr="008052E8">
        <w:rPr>
          <w:rFonts w:cs="Arial"/>
          <w:lang w:val="es-ES"/>
        </w:rPr>
        <w:t xml:space="preserve">de reformas </w:t>
      </w:r>
      <w:r w:rsidR="009567A4">
        <w:rPr>
          <w:rFonts w:cs="Arial"/>
          <w:lang w:val="es-ES"/>
        </w:rPr>
        <w:t xml:space="preserve">e </w:t>
      </w:r>
      <w:r w:rsidR="001836CA" w:rsidRPr="008052E8">
        <w:rPr>
          <w:rFonts w:cs="Arial"/>
          <w:lang w:val="es-ES"/>
        </w:rPr>
        <w:t xml:space="preserve">inversión pública por parte de las autoridades </w:t>
      </w:r>
      <w:r w:rsidR="00487CD4" w:rsidRPr="008052E8">
        <w:rPr>
          <w:rFonts w:cs="Arial"/>
          <w:lang w:val="es-ES"/>
        </w:rPr>
        <w:t xml:space="preserve">podrían </w:t>
      </w:r>
      <w:r w:rsidR="005617E5">
        <w:rPr>
          <w:rFonts w:cs="Arial"/>
          <w:lang w:val="es-ES"/>
        </w:rPr>
        <w:t>suponer factores desfavorables</w:t>
      </w:r>
      <w:r w:rsidR="001836CA" w:rsidRPr="008052E8">
        <w:rPr>
          <w:rFonts w:cs="Arial"/>
          <w:lang w:val="es-ES"/>
        </w:rPr>
        <w:t xml:space="preserve"> para el crecimiento</w:t>
      </w:r>
      <w:r w:rsidR="00A96E4D">
        <w:rPr>
          <w:rFonts w:cs="Arial"/>
          <w:lang w:val="es-ES"/>
        </w:rPr>
        <w:t xml:space="preserve">, en tanto </w:t>
      </w:r>
      <w:r w:rsidR="00487CD4" w:rsidRPr="008052E8">
        <w:rPr>
          <w:rFonts w:cs="Arial"/>
          <w:lang w:val="es-ES"/>
        </w:rPr>
        <w:t xml:space="preserve">que una implementación </w:t>
      </w:r>
      <w:r w:rsidR="00F17D98">
        <w:rPr>
          <w:rFonts w:cs="Arial"/>
          <w:lang w:val="es-ES"/>
        </w:rPr>
        <w:t>robusta</w:t>
      </w:r>
      <w:r w:rsidR="00487CD4" w:rsidRPr="008052E8">
        <w:rPr>
          <w:rFonts w:cs="Arial"/>
          <w:lang w:val="es-ES"/>
        </w:rPr>
        <w:t xml:space="preserve"> </w:t>
      </w:r>
      <w:r w:rsidR="005A3E1E" w:rsidRPr="005A3E1E">
        <w:rPr>
          <w:rFonts w:cs="Arial"/>
          <w:lang w:val="es-ES"/>
        </w:rPr>
        <w:t>sería un factor favorable</w:t>
      </w:r>
      <w:r w:rsidR="00487CD4" w:rsidRPr="008052E8">
        <w:rPr>
          <w:rFonts w:cs="Arial"/>
          <w:lang w:val="es-ES"/>
        </w:rPr>
        <w:t xml:space="preserve">. </w:t>
      </w:r>
    </w:p>
    <w:p w14:paraId="16FC3DEF" w14:textId="77777777" w:rsidR="00D617C9" w:rsidRPr="00D43A92" w:rsidRDefault="00D617C9" w:rsidP="00D617C9">
      <w:pPr>
        <w:rPr>
          <w:b/>
          <w:bCs/>
          <w:lang w:val="es-SV"/>
        </w:rPr>
      </w:pPr>
    </w:p>
    <w:p w14:paraId="65E0AC66" w14:textId="4658E563" w:rsidR="00D617C9" w:rsidRPr="00D43A92" w:rsidRDefault="00DE5B88" w:rsidP="00D617C9">
      <w:pPr>
        <w:rPr>
          <w:b/>
          <w:bCs/>
          <w:lang w:val="es-SV"/>
        </w:rPr>
      </w:pPr>
      <w:r w:rsidRPr="00D43A92">
        <w:rPr>
          <w:b/>
          <w:bCs/>
          <w:lang w:val="es-SV"/>
        </w:rPr>
        <w:t>Evaluaci</w:t>
      </w:r>
      <w:r w:rsidR="00C6583A">
        <w:rPr>
          <w:b/>
          <w:bCs/>
          <w:lang w:val="es-SV"/>
        </w:rPr>
        <w:t>ó</w:t>
      </w:r>
      <w:r w:rsidRPr="00D43A92">
        <w:rPr>
          <w:b/>
          <w:bCs/>
          <w:lang w:val="es-SV"/>
        </w:rPr>
        <w:t xml:space="preserve">n del </w:t>
      </w:r>
      <w:proofErr w:type="gramStart"/>
      <w:r w:rsidRPr="00D43A92">
        <w:rPr>
          <w:b/>
          <w:bCs/>
          <w:lang w:val="es-SV"/>
        </w:rPr>
        <w:t>Directorio Ejecutivo</w:t>
      </w:r>
      <w:proofErr w:type="gramEnd"/>
      <w:r w:rsidR="00D617C9" w:rsidRPr="00E217CB">
        <w:rPr>
          <w:rStyle w:val="FootnoteReference"/>
          <w:b/>
          <w:bCs/>
        </w:rPr>
        <w:footnoteReference w:id="3"/>
      </w:r>
      <w:r w:rsidR="00D617C9" w:rsidRPr="00D43A92">
        <w:rPr>
          <w:b/>
          <w:bCs/>
          <w:lang w:val="es-SV"/>
        </w:rPr>
        <w:t xml:space="preserve"> </w:t>
      </w:r>
    </w:p>
    <w:p w14:paraId="7BBED4E3" w14:textId="77B46917" w:rsidR="002330C6" w:rsidRDefault="002330C6" w:rsidP="002330C6">
      <w:pPr>
        <w:rPr>
          <w:lang w:val="es-SV"/>
        </w:rPr>
      </w:pPr>
      <w:r>
        <w:rPr>
          <w:lang w:val="es-SV"/>
        </w:rPr>
        <w:t xml:space="preserve">Los </w:t>
      </w:r>
      <w:r w:rsidR="008A0787">
        <w:rPr>
          <w:lang w:val="es-SV"/>
        </w:rPr>
        <w:t>d</w:t>
      </w:r>
      <w:r>
        <w:rPr>
          <w:lang w:val="es-SV"/>
        </w:rPr>
        <w:t xml:space="preserve">irectores elogiaron los esfuerzos continuos que lleva a cabo República Dominicana para fortalecer las políticas y las instituciones y promover reformas proempresariales, </w:t>
      </w:r>
      <w:r w:rsidR="0026377B">
        <w:rPr>
          <w:lang w:val="es-SV"/>
        </w:rPr>
        <w:t>que han propiciado</w:t>
      </w:r>
      <w:r>
        <w:rPr>
          <w:lang w:val="es-SV"/>
        </w:rPr>
        <w:t xml:space="preserve"> un desempeño macroeconómico sólido en las últimas dos décadas. Los </w:t>
      </w:r>
      <w:r w:rsidR="008A0787">
        <w:rPr>
          <w:lang w:val="es-SV"/>
        </w:rPr>
        <w:t>d</w:t>
      </w:r>
      <w:r>
        <w:rPr>
          <w:lang w:val="es-SV"/>
        </w:rPr>
        <w:t xml:space="preserve">irectores valoraron positivamente </w:t>
      </w:r>
      <w:r w:rsidR="005C1214">
        <w:rPr>
          <w:lang w:val="es-SV"/>
        </w:rPr>
        <w:t>que se prevea un</w:t>
      </w:r>
      <w:r>
        <w:rPr>
          <w:lang w:val="es-SV"/>
        </w:rPr>
        <w:t xml:space="preserve"> repunte de la actividad económica y que la inflación </w:t>
      </w:r>
      <w:r w:rsidR="00950176">
        <w:rPr>
          <w:lang w:val="es-SV"/>
        </w:rPr>
        <w:t>siga</w:t>
      </w:r>
      <w:r>
        <w:rPr>
          <w:lang w:val="es-SV"/>
        </w:rPr>
        <w:t xml:space="preserve"> </w:t>
      </w:r>
      <w:r w:rsidR="00950176">
        <w:rPr>
          <w:lang w:val="es-SV"/>
        </w:rPr>
        <w:t>bien</w:t>
      </w:r>
      <w:r>
        <w:rPr>
          <w:lang w:val="es-SV"/>
        </w:rPr>
        <w:t xml:space="preserve"> anclada. </w:t>
      </w:r>
      <w:r w:rsidR="00897DD1">
        <w:rPr>
          <w:lang w:val="es-SV"/>
        </w:rPr>
        <w:t>C</w:t>
      </w:r>
      <w:r w:rsidR="00E92749">
        <w:rPr>
          <w:lang w:val="es-SV"/>
        </w:rPr>
        <w:t>oincidieron en</w:t>
      </w:r>
      <w:r>
        <w:rPr>
          <w:lang w:val="es-SV"/>
        </w:rPr>
        <w:t xml:space="preserve"> que, aunque persisten riesgos a la baja, el país </w:t>
      </w:r>
      <w:r w:rsidR="00B32017">
        <w:rPr>
          <w:lang w:val="es-SV"/>
        </w:rPr>
        <w:t>está en condiciones</w:t>
      </w:r>
      <w:r>
        <w:rPr>
          <w:lang w:val="es-SV"/>
        </w:rPr>
        <w:t xml:space="preserve"> para </w:t>
      </w:r>
      <w:r w:rsidR="00852363">
        <w:rPr>
          <w:lang w:val="es-SV"/>
        </w:rPr>
        <w:t xml:space="preserve">absorber </w:t>
      </w:r>
      <w:r>
        <w:rPr>
          <w:lang w:val="es-SV"/>
        </w:rPr>
        <w:t xml:space="preserve">dichos choques </w:t>
      </w:r>
      <w:r w:rsidR="00852363">
        <w:rPr>
          <w:lang w:val="es-SV"/>
        </w:rPr>
        <w:t xml:space="preserve">gracias </w:t>
      </w:r>
      <w:r w:rsidR="00603AC1">
        <w:rPr>
          <w:lang w:val="es-SV"/>
        </w:rPr>
        <w:t>a la solidez de los</w:t>
      </w:r>
      <w:r>
        <w:rPr>
          <w:lang w:val="es-SV"/>
        </w:rPr>
        <w:t xml:space="preserve"> fundamentos económicos y el margen de maniobra para la aplicación de políticas. </w:t>
      </w:r>
      <w:r w:rsidR="00A74AD1">
        <w:rPr>
          <w:lang w:val="es-SV"/>
        </w:rPr>
        <w:t xml:space="preserve">Pese </w:t>
      </w:r>
      <w:r w:rsidR="00AE6970">
        <w:rPr>
          <w:lang w:val="es-SV"/>
        </w:rPr>
        <w:t xml:space="preserve">a la solidez de los </w:t>
      </w:r>
      <w:r>
        <w:rPr>
          <w:lang w:val="es-SV"/>
        </w:rPr>
        <w:t xml:space="preserve">fundamentos económicos, </w:t>
      </w:r>
      <w:r w:rsidR="00AE6970">
        <w:rPr>
          <w:lang w:val="es-SV"/>
        </w:rPr>
        <w:t xml:space="preserve">los </w:t>
      </w:r>
      <w:r w:rsidR="008A0787">
        <w:rPr>
          <w:lang w:val="es-SV"/>
        </w:rPr>
        <w:t>d</w:t>
      </w:r>
      <w:r w:rsidR="00AE6970">
        <w:rPr>
          <w:lang w:val="es-SV"/>
        </w:rPr>
        <w:t xml:space="preserve">irectores </w:t>
      </w:r>
      <w:r>
        <w:rPr>
          <w:lang w:val="es-SV"/>
        </w:rPr>
        <w:t>insta</w:t>
      </w:r>
      <w:r w:rsidRPr="00F413C9">
        <w:rPr>
          <w:lang w:val="es-SV"/>
        </w:rPr>
        <w:t xml:space="preserve">ron </w:t>
      </w:r>
      <w:r>
        <w:rPr>
          <w:lang w:val="es-SV"/>
        </w:rPr>
        <w:t>a las autoridades a continuar con políticas prudentes y a</w:t>
      </w:r>
      <w:r w:rsidRPr="00F413C9">
        <w:rPr>
          <w:lang w:val="es-SV"/>
        </w:rPr>
        <w:t xml:space="preserve"> ejecutar con firmeza el programa de reformas para </w:t>
      </w:r>
      <w:r>
        <w:rPr>
          <w:lang w:val="es-SV"/>
        </w:rPr>
        <w:t>acelerar</w:t>
      </w:r>
      <w:r w:rsidRPr="00F413C9">
        <w:rPr>
          <w:lang w:val="es-SV"/>
        </w:rPr>
        <w:t xml:space="preserve"> el</w:t>
      </w:r>
      <w:r>
        <w:rPr>
          <w:lang w:val="es-SV"/>
        </w:rPr>
        <w:t xml:space="preserve"> ritmo de</w:t>
      </w:r>
      <w:r w:rsidRPr="00F413C9">
        <w:rPr>
          <w:lang w:val="es-SV"/>
        </w:rPr>
        <w:t xml:space="preserve"> crecimiento</w:t>
      </w:r>
      <w:r>
        <w:rPr>
          <w:lang w:val="es-SV"/>
        </w:rPr>
        <w:t xml:space="preserve"> y mejorar la capacidad de resiliencia del país.</w:t>
      </w:r>
    </w:p>
    <w:p w14:paraId="62F9FD80" w14:textId="07F8B5C1" w:rsidR="002330C6" w:rsidRDefault="002330C6" w:rsidP="002330C6">
      <w:pPr>
        <w:rPr>
          <w:lang w:val="es-SV"/>
        </w:rPr>
      </w:pPr>
      <w:r>
        <w:rPr>
          <w:lang w:val="es-SV"/>
        </w:rPr>
        <w:t xml:space="preserve">Los </w:t>
      </w:r>
      <w:r w:rsidR="008A0787">
        <w:rPr>
          <w:lang w:val="es-SV"/>
        </w:rPr>
        <w:t>d</w:t>
      </w:r>
      <w:r>
        <w:rPr>
          <w:lang w:val="es-SV"/>
        </w:rPr>
        <w:t xml:space="preserve">irectores instaron a las autoridades a mantener políticas fiscales prudentes y </w:t>
      </w:r>
      <w:r w:rsidR="00984C42">
        <w:rPr>
          <w:lang w:val="es-SV"/>
        </w:rPr>
        <w:t xml:space="preserve">seguir </w:t>
      </w:r>
      <w:r>
        <w:rPr>
          <w:lang w:val="es-SV"/>
        </w:rPr>
        <w:t>apoya</w:t>
      </w:r>
      <w:r w:rsidR="00984C42">
        <w:rPr>
          <w:lang w:val="es-SV"/>
        </w:rPr>
        <w:t>ndo</w:t>
      </w:r>
      <w:r>
        <w:rPr>
          <w:lang w:val="es-SV"/>
        </w:rPr>
        <w:t xml:space="preserve"> </w:t>
      </w:r>
      <w:r w:rsidR="007B0013">
        <w:rPr>
          <w:lang w:val="es-SV"/>
        </w:rPr>
        <w:t>el incremento de la</w:t>
      </w:r>
      <w:r>
        <w:rPr>
          <w:lang w:val="es-SV"/>
        </w:rPr>
        <w:t xml:space="preserve"> inversión pública </w:t>
      </w:r>
      <w:r w:rsidR="007B0013">
        <w:rPr>
          <w:lang w:val="es-SV"/>
        </w:rPr>
        <w:t>de conformidad</w:t>
      </w:r>
      <w:r>
        <w:rPr>
          <w:lang w:val="es-SV"/>
        </w:rPr>
        <w:t xml:space="preserve"> con el marco fiscal de mediano plazo y la Ley de Responsabilidad Fiscal. Acogieron positivamente la consolidación fiscal </w:t>
      </w:r>
      <w:r w:rsidR="00FA1684">
        <w:rPr>
          <w:lang w:val="es-SV"/>
        </w:rPr>
        <w:t>proyectada</w:t>
      </w:r>
      <w:r>
        <w:rPr>
          <w:lang w:val="es-SV"/>
        </w:rPr>
        <w:t xml:space="preserve">—centrada en </w:t>
      </w:r>
      <w:r w:rsidR="002229C4">
        <w:rPr>
          <w:lang w:val="es-SV"/>
        </w:rPr>
        <w:t xml:space="preserve">la </w:t>
      </w:r>
      <w:r w:rsidR="00093534">
        <w:rPr>
          <w:lang w:val="es-SV"/>
        </w:rPr>
        <w:t>movilización de ingresos</w:t>
      </w:r>
      <w:r>
        <w:rPr>
          <w:lang w:val="es-SV"/>
        </w:rPr>
        <w:t xml:space="preserve"> </w:t>
      </w:r>
      <w:r w:rsidR="00CA40DF">
        <w:rPr>
          <w:lang w:val="es-SV"/>
        </w:rPr>
        <w:t>públicos</w:t>
      </w:r>
      <w:r w:rsidR="00A228D2">
        <w:rPr>
          <w:lang w:val="es-SV"/>
        </w:rPr>
        <w:t xml:space="preserve"> </w:t>
      </w:r>
      <w:r>
        <w:rPr>
          <w:lang w:val="es-SV"/>
        </w:rPr>
        <w:t xml:space="preserve">y </w:t>
      </w:r>
      <w:r w:rsidR="00A228D2">
        <w:rPr>
          <w:lang w:val="es-SV"/>
        </w:rPr>
        <w:t xml:space="preserve">la mejora de la eficiencia del </w:t>
      </w:r>
      <w:r>
        <w:rPr>
          <w:lang w:val="es-SV"/>
        </w:rPr>
        <w:t xml:space="preserve">gasto </w:t>
      </w:r>
      <w:r w:rsidR="001E6603">
        <w:rPr>
          <w:lang w:val="es-SV"/>
        </w:rPr>
        <w:t xml:space="preserve">público con medidas como </w:t>
      </w:r>
      <w:r>
        <w:rPr>
          <w:lang w:val="es-SV"/>
        </w:rPr>
        <w:t xml:space="preserve">la eliminación de los subsidios generalizados </w:t>
      </w:r>
      <w:r w:rsidR="0089028B">
        <w:rPr>
          <w:lang w:val="es-SV"/>
        </w:rPr>
        <w:t>salvaguardando</w:t>
      </w:r>
      <w:r>
        <w:rPr>
          <w:lang w:val="es-SV"/>
        </w:rPr>
        <w:t xml:space="preserve"> el gasto social. El desarrollo de una estrategia de ingresos de mediano plazo comunicada adecuadamente podría ayudar a sentar las bases para una reforma fiscal más amplia. Los </w:t>
      </w:r>
      <w:r w:rsidR="008A0787">
        <w:rPr>
          <w:lang w:val="es-SV"/>
        </w:rPr>
        <w:t>d</w:t>
      </w:r>
      <w:r>
        <w:rPr>
          <w:lang w:val="es-SV"/>
        </w:rPr>
        <w:t>irectores señalaron que la implementación integral del Pacto Eléctrico es</w:t>
      </w:r>
      <w:r w:rsidR="00E25DCB">
        <w:rPr>
          <w:lang w:val="es-SV"/>
        </w:rPr>
        <w:t xml:space="preserve"> imprescindible</w:t>
      </w:r>
      <w:r>
        <w:rPr>
          <w:lang w:val="es-SV"/>
        </w:rPr>
        <w:t xml:space="preserve"> para reducir </w:t>
      </w:r>
      <w:r w:rsidR="00CD63E2">
        <w:rPr>
          <w:lang w:val="es-SV"/>
        </w:rPr>
        <w:t xml:space="preserve">los </w:t>
      </w:r>
      <w:r>
        <w:rPr>
          <w:lang w:val="es-SV"/>
        </w:rPr>
        <w:t>riesgos fiscales y garantizar la resiliencia del sector.</w:t>
      </w:r>
    </w:p>
    <w:p w14:paraId="2B7F0D37" w14:textId="3AACEE1C" w:rsidR="002330C6" w:rsidRDefault="002330C6" w:rsidP="002330C6">
      <w:pPr>
        <w:rPr>
          <w:lang w:val="es-SV"/>
        </w:rPr>
      </w:pPr>
      <w:r>
        <w:rPr>
          <w:lang w:val="es-SV"/>
        </w:rPr>
        <w:t xml:space="preserve">Los </w:t>
      </w:r>
      <w:r w:rsidR="008A0787">
        <w:rPr>
          <w:lang w:val="es-SV"/>
        </w:rPr>
        <w:t>d</w:t>
      </w:r>
      <w:r>
        <w:rPr>
          <w:lang w:val="es-SV"/>
        </w:rPr>
        <w:t xml:space="preserve">irectores coincidieron en que la postura de la política monetaria es adecuada en términos generales. Enfatizaron que el fortalecimiento del mecanismo de transmisión monetario </w:t>
      </w:r>
      <w:r w:rsidR="00C17BB8">
        <w:rPr>
          <w:lang w:val="es-SV"/>
        </w:rPr>
        <w:t xml:space="preserve">ayudaría a </w:t>
      </w:r>
      <w:r>
        <w:rPr>
          <w:lang w:val="es-SV"/>
        </w:rPr>
        <w:t xml:space="preserve">apuntalar la eficacia del esquema de metas de inflación. En tal sentido, alentaron los esfuerzos para avanzar con una estrategia integral y claramente comunicada </w:t>
      </w:r>
      <w:r>
        <w:rPr>
          <w:lang w:val="es-SV"/>
        </w:rPr>
        <w:lastRenderedPageBreak/>
        <w:t xml:space="preserve">para reducir las medidas excepcionales de liquidez. </w:t>
      </w:r>
      <w:r w:rsidR="002B0D8F">
        <w:rPr>
          <w:lang w:val="es-SV"/>
        </w:rPr>
        <w:t xml:space="preserve">Seguir </w:t>
      </w:r>
      <w:r>
        <w:rPr>
          <w:lang w:val="es-SV"/>
        </w:rPr>
        <w:t>desarroll</w:t>
      </w:r>
      <w:r w:rsidR="002B0D8F">
        <w:rPr>
          <w:lang w:val="es-SV"/>
        </w:rPr>
        <w:t>ando</w:t>
      </w:r>
      <w:r>
        <w:rPr>
          <w:lang w:val="es-SV"/>
        </w:rPr>
        <w:t xml:space="preserve"> los mercados de capitales </w:t>
      </w:r>
      <w:r w:rsidR="00F76BE9">
        <w:rPr>
          <w:lang w:val="es-SV"/>
        </w:rPr>
        <w:t>del país</w:t>
      </w:r>
      <w:r>
        <w:rPr>
          <w:lang w:val="es-SV"/>
        </w:rPr>
        <w:t xml:space="preserve"> también podría ayudar a mejorar el mecanismo de transmisión. Los </w:t>
      </w:r>
      <w:r w:rsidR="008A0787">
        <w:rPr>
          <w:lang w:val="es-SV"/>
        </w:rPr>
        <w:t>d</w:t>
      </w:r>
      <w:r>
        <w:rPr>
          <w:lang w:val="es-SV"/>
        </w:rPr>
        <w:t xml:space="preserve">irectores </w:t>
      </w:r>
      <w:r w:rsidR="00554EE7">
        <w:rPr>
          <w:lang w:val="es-SV"/>
        </w:rPr>
        <w:t>subr</w:t>
      </w:r>
      <w:r w:rsidR="00F709FA">
        <w:rPr>
          <w:lang w:val="es-SV"/>
        </w:rPr>
        <w:t>ay</w:t>
      </w:r>
      <w:r>
        <w:rPr>
          <w:lang w:val="es-SV"/>
        </w:rPr>
        <w:t xml:space="preserve">aron la necesidad de </w:t>
      </w:r>
      <w:r w:rsidR="00F709FA">
        <w:rPr>
          <w:lang w:val="es-SV"/>
        </w:rPr>
        <w:t>mantene</w:t>
      </w:r>
      <w:r>
        <w:rPr>
          <w:lang w:val="es-SV"/>
        </w:rPr>
        <w:t xml:space="preserve">r la flexibilidad cambiaria, con intervenciones enfocadas a suavizar </w:t>
      </w:r>
      <w:r w:rsidR="00990F16">
        <w:rPr>
          <w:lang w:val="es-SV"/>
        </w:rPr>
        <w:t xml:space="preserve">los </w:t>
      </w:r>
      <w:r>
        <w:rPr>
          <w:lang w:val="es-SV"/>
        </w:rPr>
        <w:t xml:space="preserve">choques de gran magnitud y reconstruir </w:t>
      </w:r>
      <w:r w:rsidR="009C4032">
        <w:rPr>
          <w:lang w:val="es-SV"/>
        </w:rPr>
        <w:t xml:space="preserve">los niveles de </w:t>
      </w:r>
      <w:r>
        <w:rPr>
          <w:lang w:val="es-SV"/>
        </w:rPr>
        <w:t>reservas a fin de reforzar la estabilidad externa.</w:t>
      </w:r>
    </w:p>
    <w:p w14:paraId="442AB82B" w14:textId="4486E12A" w:rsidR="002330C6" w:rsidRDefault="002330C6" w:rsidP="002330C6">
      <w:pPr>
        <w:rPr>
          <w:rFonts w:cs="Arial"/>
          <w:lang w:val="es-ES"/>
        </w:rPr>
      </w:pPr>
      <w:r>
        <w:rPr>
          <w:lang w:val="es-SV"/>
        </w:rPr>
        <w:t xml:space="preserve">Los </w:t>
      </w:r>
      <w:r w:rsidR="008A0787">
        <w:rPr>
          <w:lang w:val="es-SV"/>
        </w:rPr>
        <w:t>d</w:t>
      </w:r>
      <w:r>
        <w:rPr>
          <w:lang w:val="es-SV"/>
        </w:rPr>
        <w:t xml:space="preserve">irectores </w:t>
      </w:r>
      <w:r>
        <w:rPr>
          <w:rFonts w:cs="Arial"/>
          <w:lang w:val="es-ES"/>
        </w:rPr>
        <w:t xml:space="preserve">destacaron que el sistema bancario sigue siendo sólido y </w:t>
      </w:r>
      <w:r w:rsidR="006E337C">
        <w:rPr>
          <w:rFonts w:cs="Arial"/>
          <w:lang w:val="es-ES"/>
        </w:rPr>
        <w:t xml:space="preserve">que </w:t>
      </w:r>
      <w:r>
        <w:rPr>
          <w:rFonts w:cs="Arial"/>
          <w:lang w:val="es-ES"/>
        </w:rPr>
        <w:t xml:space="preserve">los riesgos sistémicos son limitados. </w:t>
      </w:r>
      <w:r w:rsidR="00840DBB">
        <w:rPr>
          <w:lang w:val="es-SV"/>
        </w:rPr>
        <w:t>Elogiaron los</w:t>
      </w:r>
      <w:r>
        <w:rPr>
          <w:lang w:val="es-SV"/>
        </w:rPr>
        <w:t xml:space="preserve"> avances logrados </w:t>
      </w:r>
      <w:r w:rsidR="005076A6">
        <w:rPr>
          <w:lang w:val="es-SV"/>
        </w:rPr>
        <w:t>en la</w:t>
      </w:r>
      <w:r>
        <w:rPr>
          <w:lang w:val="es-SV"/>
        </w:rPr>
        <w:t xml:space="preserve"> mejora </w:t>
      </w:r>
      <w:r w:rsidR="005076A6">
        <w:rPr>
          <w:lang w:val="es-SV"/>
        </w:rPr>
        <w:t>d</w:t>
      </w:r>
      <w:r>
        <w:rPr>
          <w:lang w:val="es-SV"/>
        </w:rPr>
        <w:t>el marco regulatorio y de supervisión del sector financiero</w:t>
      </w:r>
      <w:r>
        <w:rPr>
          <w:rFonts w:cs="Arial"/>
          <w:lang w:val="es-ES"/>
        </w:rPr>
        <w:t xml:space="preserve">. </w:t>
      </w:r>
      <w:r w:rsidR="00955727">
        <w:rPr>
          <w:rFonts w:cs="Arial"/>
          <w:lang w:val="es-ES"/>
        </w:rPr>
        <w:t>Adoptar</w:t>
      </w:r>
      <w:r>
        <w:rPr>
          <w:rFonts w:cs="Arial"/>
          <w:lang w:val="es-ES"/>
        </w:rPr>
        <w:t xml:space="preserve"> las normas de Basilea II y III, </w:t>
      </w:r>
      <w:r w:rsidR="002D073A">
        <w:rPr>
          <w:rFonts w:cs="Arial"/>
          <w:lang w:val="es-ES"/>
        </w:rPr>
        <w:t xml:space="preserve">establecer </w:t>
      </w:r>
      <w:r>
        <w:rPr>
          <w:rFonts w:cs="Arial"/>
          <w:lang w:val="es-ES"/>
        </w:rPr>
        <w:t xml:space="preserve">un conjunto de herramientas de política </w:t>
      </w:r>
      <w:proofErr w:type="spellStart"/>
      <w:r>
        <w:rPr>
          <w:rFonts w:cs="Arial"/>
          <w:lang w:val="es-ES"/>
        </w:rPr>
        <w:t>macroprudenciales</w:t>
      </w:r>
      <w:proofErr w:type="spellEnd"/>
      <w:r>
        <w:rPr>
          <w:rFonts w:cs="Arial"/>
          <w:lang w:val="es-ES"/>
        </w:rPr>
        <w:t xml:space="preserve"> y reforzar el marco para la lucha contra el lavado de dinero y el financiamiento del terrorismo (LLD/LFT) </w:t>
      </w:r>
      <w:r w:rsidR="004F693D">
        <w:rPr>
          <w:rFonts w:cs="Arial"/>
          <w:lang w:val="es-ES"/>
        </w:rPr>
        <w:t>siguen</w:t>
      </w:r>
      <w:r>
        <w:rPr>
          <w:rFonts w:cs="Arial"/>
          <w:lang w:val="es-ES"/>
        </w:rPr>
        <w:t xml:space="preserve"> siendo prioritarios.</w:t>
      </w:r>
    </w:p>
    <w:p w14:paraId="17B5A0F7" w14:textId="15E08175" w:rsidR="00C47F0D" w:rsidRDefault="002330C6" w:rsidP="004B55E3">
      <w:pPr>
        <w:rPr>
          <w:rFonts w:cs="Arial"/>
          <w:lang w:val="es-ES"/>
        </w:rPr>
      </w:pPr>
      <w:r>
        <w:rPr>
          <w:rFonts w:cs="Arial"/>
          <w:lang w:val="es-ES"/>
        </w:rPr>
        <w:t xml:space="preserve">Los </w:t>
      </w:r>
      <w:r w:rsidR="008A0787">
        <w:rPr>
          <w:rFonts w:cs="Arial"/>
          <w:lang w:val="es-ES"/>
        </w:rPr>
        <w:t>d</w:t>
      </w:r>
      <w:r>
        <w:rPr>
          <w:rFonts w:cs="Arial"/>
          <w:lang w:val="es-ES"/>
        </w:rPr>
        <w:t xml:space="preserve">irectores acogieron positivamente la ambiciosa agenda de reformas estructurales, enfocada en impulsar el crecimiento potencial del país y </w:t>
      </w:r>
      <w:r w:rsidR="002D0A3E">
        <w:rPr>
          <w:rFonts w:cs="Arial"/>
          <w:lang w:val="es-ES"/>
        </w:rPr>
        <w:t>alcanzar</w:t>
      </w:r>
      <w:r>
        <w:rPr>
          <w:rFonts w:cs="Arial"/>
          <w:lang w:val="es-ES"/>
        </w:rPr>
        <w:t xml:space="preserve"> el nivel de economía de ingreso alto, conforme a lo previsto en el Plan Meta 2036. </w:t>
      </w:r>
      <w:r w:rsidR="00D95206">
        <w:rPr>
          <w:rFonts w:cs="Arial"/>
          <w:lang w:val="es-ES"/>
        </w:rPr>
        <w:t xml:space="preserve">Señalaron </w:t>
      </w:r>
      <w:r>
        <w:rPr>
          <w:rFonts w:cs="Arial"/>
          <w:lang w:val="es-ES"/>
        </w:rPr>
        <w:t xml:space="preserve">que, para alcanzar estos objetivos </w:t>
      </w:r>
      <w:r w:rsidR="00C324BE">
        <w:rPr>
          <w:rFonts w:cs="Arial"/>
          <w:lang w:val="es-ES"/>
        </w:rPr>
        <w:t>se requieren esfuerzos para</w:t>
      </w:r>
      <w:r>
        <w:rPr>
          <w:rFonts w:cs="Arial"/>
          <w:lang w:val="es-ES"/>
        </w:rPr>
        <w:t xml:space="preserve"> seguir mejorando la gobernanza, avanzar con las reformas laborales y de la seguridad social</w:t>
      </w:r>
      <w:r w:rsidR="00AB4400">
        <w:rPr>
          <w:rFonts w:cs="Arial"/>
          <w:lang w:val="es-ES"/>
        </w:rPr>
        <w:t>,</w:t>
      </w:r>
      <w:r>
        <w:rPr>
          <w:rFonts w:cs="Arial"/>
          <w:lang w:val="es-ES"/>
        </w:rPr>
        <w:t xml:space="preserve"> e invertir eficientemente en proyectos de infraestructura, </w:t>
      </w:r>
      <w:r w:rsidR="00956252">
        <w:rPr>
          <w:rFonts w:cs="Arial"/>
          <w:lang w:val="es-ES"/>
        </w:rPr>
        <w:t xml:space="preserve">en la </w:t>
      </w:r>
      <w:r>
        <w:rPr>
          <w:rFonts w:cs="Arial"/>
          <w:lang w:val="es-ES"/>
        </w:rPr>
        <w:t xml:space="preserve">educación y </w:t>
      </w:r>
      <w:r w:rsidR="00956252">
        <w:rPr>
          <w:rFonts w:cs="Arial"/>
          <w:lang w:val="es-ES"/>
        </w:rPr>
        <w:t xml:space="preserve">la </w:t>
      </w:r>
      <w:r>
        <w:rPr>
          <w:rFonts w:cs="Arial"/>
          <w:lang w:val="es-ES"/>
        </w:rPr>
        <w:t xml:space="preserve">salud. Reconociendo los avances logrados, los </w:t>
      </w:r>
      <w:r w:rsidR="008A0787">
        <w:rPr>
          <w:rFonts w:cs="Arial"/>
          <w:lang w:val="es-ES"/>
        </w:rPr>
        <w:t>d</w:t>
      </w:r>
      <w:r>
        <w:rPr>
          <w:rFonts w:cs="Arial"/>
          <w:lang w:val="es-ES"/>
        </w:rPr>
        <w:t xml:space="preserve">irectores </w:t>
      </w:r>
      <w:r w:rsidR="00475588">
        <w:rPr>
          <w:rFonts w:cs="Arial"/>
          <w:lang w:val="es-ES"/>
        </w:rPr>
        <w:t>coincidieron en</w:t>
      </w:r>
      <w:r>
        <w:rPr>
          <w:rFonts w:cs="Arial"/>
          <w:lang w:val="es-ES"/>
        </w:rPr>
        <w:t xml:space="preserve"> que la alta vulnerabilidad de República Dominicana a </w:t>
      </w:r>
      <w:r w:rsidR="00B508A5">
        <w:rPr>
          <w:rFonts w:cs="Arial"/>
          <w:lang w:val="es-ES"/>
        </w:rPr>
        <w:t xml:space="preserve">los </w:t>
      </w:r>
      <w:r>
        <w:rPr>
          <w:rFonts w:cs="Arial"/>
          <w:lang w:val="es-ES"/>
        </w:rPr>
        <w:t xml:space="preserve">desastres naturales exige adoptar </w:t>
      </w:r>
      <w:r w:rsidR="00602181">
        <w:rPr>
          <w:rFonts w:cs="Arial"/>
          <w:lang w:val="es-ES"/>
        </w:rPr>
        <w:t>un enfoque</w:t>
      </w:r>
      <w:r>
        <w:rPr>
          <w:rFonts w:cs="Arial"/>
          <w:lang w:val="es-ES"/>
        </w:rPr>
        <w:t xml:space="preserve"> integral para la mitigación de riesgos y aumentar la resiliencia del país. </w:t>
      </w:r>
      <w:r w:rsidR="00110950">
        <w:rPr>
          <w:rFonts w:cs="Arial"/>
          <w:lang w:val="es-ES"/>
        </w:rPr>
        <w:t xml:space="preserve">Entre las medidas </w:t>
      </w:r>
      <w:r w:rsidR="004920AB">
        <w:rPr>
          <w:rFonts w:cs="Arial"/>
          <w:lang w:val="es-ES"/>
        </w:rPr>
        <w:t>más</w:t>
      </w:r>
      <w:r w:rsidR="00110950">
        <w:rPr>
          <w:rFonts w:cs="Arial"/>
          <w:lang w:val="es-ES"/>
        </w:rPr>
        <w:t xml:space="preserve"> </w:t>
      </w:r>
      <w:r w:rsidR="00F83309">
        <w:rPr>
          <w:rFonts w:cs="Arial"/>
          <w:lang w:val="es-ES"/>
        </w:rPr>
        <w:t xml:space="preserve">importantes están </w:t>
      </w:r>
      <w:r>
        <w:rPr>
          <w:rFonts w:cs="Arial"/>
          <w:lang w:val="es-ES"/>
        </w:rPr>
        <w:t xml:space="preserve">mejorar </w:t>
      </w:r>
      <w:r w:rsidR="00BD4AE6">
        <w:rPr>
          <w:rFonts w:cs="Arial"/>
          <w:lang w:val="es-ES"/>
        </w:rPr>
        <w:t>los</w:t>
      </w:r>
      <w:r>
        <w:rPr>
          <w:rFonts w:cs="Arial"/>
          <w:lang w:val="es-ES"/>
        </w:rPr>
        <w:t xml:space="preserve"> marco</w:t>
      </w:r>
      <w:r w:rsidR="00BD4AE6">
        <w:rPr>
          <w:rFonts w:cs="Arial"/>
          <w:lang w:val="es-ES"/>
        </w:rPr>
        <w:t>s</w:t>
      </w:r>
      <w:r>
        <w:rPr>
          <w:rFonts w:cs="Arial"/>
          <w:lang w:val="es-ES"/>
        </w:rPr>
        <w:t xml:space="preserve"> para la gestión de riegos de desastres y </w:t>
      </w:r>
      <w:r w:rsidR="001C62F1">
        <w:rPr>
          <w:rFonts w:cs="Arial"/>
          <w:lang w:val="es-ES"/>
        </w:rPr>
        <w:t>ahondar en</w:t>
      </w:r>
      <w:r>
        <w:rPr>
          <w:rFonts w:cs="Arial"/>
          <w:lang w:val="es-ES"/>
        </w:rPr>
        <w:t xml:space="preserve"> las consideraciones </w:t>
      </w:r>
      <w:r w:rsidR="002E4785">
        <w:rPr>
          <w:rFonts w:cs="Arial"/>
          <w:lang w:val="es-ES"/>
        </w:rPr>
        <w:t xml:space="preserve">de </w:t>
      </w:r>
      <w:r>
        <w:rPr>
          <w:rFonts w:cs="Arial"/>
          <w:lang w:val="es-ES"/>
        </w:rPr>
        <w:t>política fiscal</w:t>
      </w:r>
      <w:r w:rsidR="002E4785">
        <w:rPr>
          <w:rFonts w:cs="Arial"/>
          <w:lang w:val="es-ES"/>
        </w:rPr>
        <w:t xml:space="preserve"> relacionadas con los desastres naturales</w:t>
      </w:r>
      <w:r>
        <w:rPr>
          <w:rFonts w:cs="Arial"/>
          <w:lang w:val="es-ES"/>
        </w:rPr>
        <w:t>.</w:t>
      </w:r>
      <w:r w:rsidR="009D1D48">
        <w:rPr>
          <w:rFonts w:cs="Arial"/>
          <w:lang w:val="es-ES"/>
        </w:rPr>
        <w:t xml:space="preserve"> </w:t>
      </w:r>
    </w:p>
    <w:p w14:paraId="464A9D6D" w14:textId="77777777" w:rsidR="008B3F97" w:rsidRPr="002E4785" w:rsidRDefault="008B3F97" w:rsidP="004B55E3">
      <w:pPr>
        <w:rPr>
          <w:b/>
          <w:bCs/>
          <w:lang w:val="es-ES"/>
        </w:rPr>
      </w:pPr>
    </w:p>
    <w:p w14:paraId="113515D1" w14:textId="77777777" w:rsidR="00D617C9" w:rsidRPr="00D43A92" w:rsidRDefault="00D617C9" w:rsidP="004B55E3">
      <w:pPr>
        <w:rPr>
          <w:b/>
          <w:bCs/>
          <w:lang w:val="es-SV"/>
        </w:rPr>
      </w:pPr>
    </w:p>
    <w:p w14:paraId="6761A577" w14:textId="77777777" w:rsidR="00704CAB" w:rsidRPr="00D43A92" w:rsidRDefault="00704CAB">
      <w:pPr>
        <w:spacing w:after="0" w:line="240" w:lineRule="auto"/>
        <w:rPr>
          <w:lang w:val="es-SV"/>
        </w:rPr>
      </w:pPr>
      <w:r w:rsidRPr="00D43A92">
        <w:rPr>
          <w:lang w:val="es-SV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2"/>
      </w:tblGrid>
      <w:tr w:rsidR="008C4488" w:rsidRPr="00B46A76" w14:paraId="6FB19192" w14:textId="77777777" w:rsidTr="005438E6">
        <w:tc>
          <w:tcPr>
            <w:tcW w:w="8342" w:type="dxa"/>
          </w:tcPr>
          <w:tbl>
            <w:tblPr>
              <w:tblW w:w="8126" w:type="dxa"/>
              <w:tblLook w:val="04A0" w:firstRow="1" w:lastRow="0" w:firstColumn="1" w:lastColumn="0" w:noHBand="0" w:noVBand="1"/>
            </w:tblPr>
            <w:tblGrid>
              <w:gridCol w:w="3468"/>
              <w:gridCol w:w="693"/>
              <w:gridCol w:w="646"/>
              <w:gridCol w:w="668"/>
              <w:gridCol w:w="624"/>
              <w:gridCol w:w="656"/>
              <w:gridCol w:w="676"/>
              <w:gridCol w:w="695"/>
            </w:tblGrid>
            <w:tr w:rsidR="008C4488" w:rsidRPr="001B1340" w14:paraId="6F836880" w14:textId="77777777" w:rsidTr="005C09FD">
              <w:trPr>
                <w:trHeight w:val="20"/>
              </w:trPr>
              <w:tc>
                <w:tcPr>
                  <w:tcW w:w="8126" w:type="dxa"/>
                  <w:gridSpan w:val="8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9E788D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4B82AD"/>
                      <w:sz w:val="21"/>
                      <w:szCs w:val="21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color w:val="4B82AD"/>
                      <w:sz w:val="21"/>
                      <w:szCs w:val="21"/>
                      <w:lang w:val="es-CL"/>
                    </w:rPr>
                    <w:lastRenderedPageBreak/>
                    <w:t>República Dominicana: Indicadores Económicos Seleccionados</w:t>
                  </w:r>
                </w:p>
              </w:tc>
            </w:tr>
            <w:tr w:rsidR="005C09FD" w:rsidRPr="001A7D1E" w14:paraId="2C99C8F4" w14:textId="77777777" w:rsidTr="005C09FD">
              <w:trPr>
                <w:trHeight w:val="233"/>
              </w:trPr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6AE2B0" w14:textId="49BFF9CB" w:rsidR="005C09FD" w:rsidRPr="00A818B5" w:rsidRDefault="005C09FD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Población (</w:t>
                  </w:r>
                  <w:proofErr w:type="spellStart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millones</w:t>
                  </w:r>
                  <w:proofErr w:type="spellEnd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, 202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4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)                            </w:t>
                  </w:r>
                  <w:r w:rsidR="000B1290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                 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1</w:t>
                  </w:r>
                  <w:r w:rsidR="00A818B5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0.8</w:t>
                  </w:r>
                </w:p>
              </w:tc>
              <w:tc>
                <w:tcPr>
                  <w:tcW w:w="3965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87677B" w14:textId="260FD683" w:rsidR="005C09FD" w:rsidRPr="001A7D1E" w:rsidRDefault="005C09FD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PIB per </w:t>
                  </w:r>
                  <w:proofErr w:type="spellStart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cápita</w:t>
                  </w:r>
                  <w:proofErr w:type="spellEnd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(US$, 202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4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)                             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            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1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1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,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542</w:t>
                  </w:r>
                </w:p>
              </w:tc>
            </w:tr>
            <w:tr w:rsidR="005C09FD" w:rsidRPr="001B1340" w14:paraId="0FC7B4D6" w14:textId="77777777" w:rsidTr="005C09FD">
              <w:trPr>
                <w:trHeight w:val="20"/>
              </w:trPr>
              <w:tc>
                <w:tcPr>
                  <w:tcW w:w="41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B39BB0" w14:textId="02D4CA66" w:rsidR="005C09FD" w:rsidRPr="00A818B5" w:rsidRDefault="005C09FD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Cuota en el FMI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</w:t>
                  </w:r>
                  <w:r w:rsidR="000B1290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                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477.4 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millones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</w:t>
                  </w:r>
                  <w:proofErr w:type="spellStart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SDRs</w:t>
                  </w:r>
                  <w:proofErr w:type="spellEnd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/ 0.10%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total</w:t>
                  </w:r>
                </w:p>
              </w:tc>
              <w:tc>
                <w:tcPr>
                  <w:tcW w:w="396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68711A" w14:textId="48A53409" w:rsidR="005C09FD" w:rsidRPr="001A7D1E" w:rsidRDefault="005C09FD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Pobreza (porcentaje de la población, 2023)      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           2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3.0</w:t>
                  </w:r>
                </w:p>
              </w:tc>
            </w:tr>
            <w:tr w:rsidR="005C09FD" w:rsidRPr="001A7D1E" w14:paraId="509C22CD" w14:textId="77777777">
              <w:trPr>
                <w:trHeight w:val="20"/>
              </w:trPr>
              <w:tc>
                <w:tcPr>
                  <w:tcW w:w="41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E55F6A" w14:textId="5E877E88" w:rsidR="005C09FD" w:rsidRPr="00A818B5" w:rsidRDefault="005C09FD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Exportaciones principales     </w:t>
                  </w:r>
                  <w:r w:rsidR="000B1290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                 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Pr="00D51313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turismo, oro, tabac</w:t>
                  </w:r>
                  <w:r w:rsidR="00A818B5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o</w:t>
                  </w:r>
                </w:p>
              </w:tc>
              <w:tc>
                <w:tcPr>
                  <w:tcW w:w="396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8A3190" w14:textId="6678BC26" w:rsidR="005C09FD" w:rsidRPr="001A7D1E" w:rsidRDefault="005C09FD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Extreme poverty (2023, </w:t>
                  </w:r>
                  <w:proofErr w:type="spellStart"/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porcentaje</w:t>
                  </w:r>
                  <w:proofErr w:type="spellEnd"/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población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)  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gramEnd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         </w:t>
                  </w:r>
                  <w:r w:rsidR="000B1290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3.2</w:t>
                  </w:r>
                </w:p>
              </w:tc>
            </w:tr>
            <w:tr w:rsidR="005C09FD" w:rsidRPr="001A7D1E" w14:paraId="69F128E2" w14:textId="77777777">
              <w:trPr>
                <w:trHeight w:val="20"/>
              </w:trPr>
              <w:tc>
                <w:tcPr>
                  <w:tcW w:w="41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DF667E" w14:textId="2BBCEF61" w:rsidR="005C09FD" w:rsidRPr="00A818B5" w:rsidRDefault="005C09FD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F9352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De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stino exportaciones            </w:t>
                  </w:r>
                  <w:r w:rsidR="000B1290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                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</w:t>
                  </w:r>
                  <w:proofErr w:type="gramStart"/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EE.UU.</w:t>
                  </w:r>
                  <w:proofErr w:type="gramEnd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, Suiza y Haití</w:t>
                  </w:r>
                </w:p>
              </w:tc>
              <w:tc>
                <w:tcPr>
                  <w:tcW w:w="396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6BD5AD" w14:textId="020E17C0" w:rsidR="005C09FD" w:rsidRPr="001A7D1E" w:rsidRDefault="005C09FD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481DEB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Tasa de alfabetización (202</w:t>
                  </w:r>
                  <w:r w:rsidR="004D0A21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2</w:t>
                  </w:r>
                  <w:r w:rsidRPr="00481DEB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, </w:t>
                  </w:r>
                  <w:proofErr w:type="gramStart"/>
                  <w:r w:rsidRPr="00481DEB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porcentaje)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</w:t>
                  </w:r>
                  <w:proofErr w:type="gramEnd"/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                  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95.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5</w:t>
                  </w:r>
                </w:p>
              </w:tc>
            </w:tr>
            <w:tr w:rsidR="008C4488" w:rsidRPr="001A7D1E" w14:paraId="2D7BE715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BA5A8A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30444F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B9854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color w:val="333333"/>
                      <w:sz w:val="14"/>
                      <w:szCs w:val="14"/>
                      <w:lang w:val="es-CL"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3AFB4A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C72185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5DCAC7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color w:val="333333"/>
                      <w:sz w:val="14"/>
                      <w:szCs w:val="14"/>
                      <w:lang w:val="es-CL"/>
                    </w:rPr>
                    <w:t> </w:t>
                  </w:r>
                </w:p>
              </w:tc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38F782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proofErr w:type="spellStart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Proyección</w:t>
                  </w:r>
                  <w:proofErr w:type="spellEnd"/>
                </w:p>
              </w:tc>
            </w:tr>
            <w:tr w:rsidR="008C4488" w:rsidRPr="001A7D1E" w14:paraId="75115CED" w14:textId="77777777" w:rsidTr="000B1290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5CD498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47507" w14:textId="77777777" w:rsidR="008C4488" w:rsidRPr="001A7D1E" w:rsidRDefault="008C4488" w:rsidP="000B129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2020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A7505" w14:textId="77777777" w:rsidR="008C4488" w:rsidRPr="001A7D1E" w:rsidRDefault="008C4488" w:rsidP="000B129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2021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60814BD" w14:textId="77777777" w:rsidR="008C4488" w:rsidRPr="001A7D1E" w:rsidRDefault="008C4488" w:rsidP="000B129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2022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05AEC" w14:textId="77777777" w:rsidR="008C4488" w:rsidRPr="001A7D1E" w:rsidRDefault="008C4488" w:rsidP="000B129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2023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CD56B" w14:textId="77777777" w:rsidR="008C4488" w:rsidRPr="001A7D1E" w:rsidRDefault="008C4488" w:rsidP="000B129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2024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1440DD" w14:textId="77777777" w:rsidR="008C4488" w:rsidRPr="001A7D1E" w:rsidRDefault="008C4488" w:rsidP="000B129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2025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0933B4" w14:textId="77777777" w:rsidR="008C4488" w:rsidRPr="001A7D1E" w:rsidRDefault="008C4488" w:rsidP="000B129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2026</w:t>
                  </w:r>
                </w:p>
              </w:tc>
            </w:tr>
            <w:tr w:rsidR="00D37C84" w:rsidRPr="001A7D1E" w14:paraId="4C71366C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665A21D" w14:textId="77777777" w:rsidR="00D37C84" w:rsidRPr="001A7D1E" w:rsidRDefault="00D37C84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65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4091B82" w14:textId="77777777" w:rsidR="00D37C84" w:rsidRPr="0013086E" w:rsidRDefault="00D37C84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</w:p>
              </w:tc>
            </w:tr>
            <w:tr w:rsidR="008C4488" w:rsidRPr="001A7D1E" w14:paraId="47641DCB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26D673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Producto</w:t>
                  </w:r>
                  <w:proofErr w:type="spellEnd"/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Interno</w:t>
                  </w:r>
                  <w:proofErr w:type="spellEnd"/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 xml:space="preserve"> Bruto</w:t>
                  </w:r>
                </w:p>
              </w:tc>
              <w:tc>
                <w:tcPr>
                  <w:tcW w:w="465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FDD86A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(Cambio </w:t>
                  </w:r>
                  <w:proofErr w:type="spellStart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anual</w:t>
                  </w:r>
                  <w:proofErr w:type="spellEnd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en</w:t>
                  </w:r>
                  <w:proofErr w:type="spellEnd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porcentaje</w:t>
                  </w:r>
                  <w:proofErr w:type="spellEnd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)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</w:tr>
            <w:tr w:rsidR="008C4488" w:rsidRPr="001A7D1E" w14:paraId="3357EFCE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D7D2EE" w14:textId="624EAEA4" w:rsidR="008C4488" w:rsidRPr="001A7D1E" w:rsidRDefault="00610287" w:rsidP="00610287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r w:rsidR="00155000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Crecimiento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real del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producto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C3DAA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-7.9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A87C4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14.0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B5A04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D3281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B6329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C030E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20408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4.5</w:t>
                  </w:r>
                </w:p>
              </w:tc>
            </w:tr>
            <w:tr w:rsidR="008C4488" w:rsidRPr="001A7D1E" w14:paraId="7F7106FB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97823C" w14:textId="21B5084A" w:rsidR="008C4488" w:rsidRPr="001A7D1E" w:rsidRDefault="00155000" w:rsidP="0015500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PIB nominal (RD$, miles </w:t>
                  </w:r>
                  <w:r w:rsidR="00466476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de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millones)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6C0DD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4,440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5AD27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5,427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49A46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6,257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36086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6,765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EE7E3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7,403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6DC3E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7,977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0225C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8,701</w:t>
                  </w:r>
                </w:p>
              </w:tc>
            </w:tr>
            <w:tr w:rsidR="008C4488" w:rsidRPr="001A7D1E" w14:paraId="2BA2C8C5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25BF66" w14:textId="14EDD53F" w:rsidR="008C4488" w:rsidRPr="00E3283A" w:rsidRDefault="00155000" w:rsidP="0015500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SV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SV"/>
                    </w:rPr>
                    <w:t xml:space="preserve">  </w:t>
                  </w:r>
                  <w:r w:rsidR="008C4488" w:rsidRPr="00E3283A">
                    <w:rPr>
                      <w:rFonts w:ascii="Segoe UI" w:eastAsia="Times New Roman" w:hAnsi="Segoe UI" w:cs="Segoe UI"/>
                      <w:sz w:val="14"/>
                      <w:szCs w:val="14"/>
                      <w:lang w:val="es-SV"/>
                    </w:rPr>
                    <w:t xml:space="preserve">PIB nominal (US$, miles </w:t>
                  </w:r>
                  <w:r w:rsidR="00466476" w:rsidRPr="00E3283A">
                    <w:rPr>
                      <w:rFonts w:ascii="Segoe UI" w:eastAsia="Times New Roman" w:hAnsi="Segoe UI" w:cs="Segoe UI"/>
                      <w:sz w:val="14"/>
                      <w:szCs w:val="14"/>
                      <w:lang w:val="es-SV"/>
                    </w:rPr>
                    <w:t xml:space="preserve">de </w:t>
                  </w:r>
                  <w:r w:rsidR="008C4488" w:rsidRPr="00E3283A">
                    <w:rPr>
                      <w:rFonts w:ascii="Segoe UI" w:eastAsia="Times New Roman" w:hAnsi="Segoe UI" w:cs="Segoe UI"/>
                      <w:sz w:val="14"/>
                      <w:szCs w:val="14"/>
                      <w:lang w:val="es-SV"/>
                    </w:rPr>
                    <w:t>millones)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2C7B6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78.6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8705F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95.1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FCD621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113.8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AFA46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120.8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43CDC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124.6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3A1F8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...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D7C4B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...</w:t>
                  </w:r>
                </w:p>
              </w:tc>
            </w:tr>
            <w:tr w:rsidR="008C4488" w:rsidRPr="001A7D1E" w14:paraId="572C12F8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FD0635" w14:textId="3B8BA0BF" w:rsidR="008C4488" w:rsidRPr="001A7D1E" w:rsidRDefault="00155000" w:rsidP="0015500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Brecha de</w:t>
                  </w:r>
                  <w:r w:rsidR="00A77CEA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l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producto (</w:t>
                  </w:r>
                  <w:r w:rsidR="00887BD0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%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del producto potencial)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E3F48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-6.7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28874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-1.9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DA9D7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-0.8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D79C9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-1.8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9E6BA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-0.8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958F2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-1.7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A0E98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-0.9</w:t>
                  </w:r>
                </w:p>
              </w:tc>
            </w:tr>
            <w:tr w:rsidR="00663DAE" w:rsidRPr="001A7D1E" w14:paraId="6F0D0083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49FC985" w14:textId="77777777" w:rsidR="00663DAE" w:rsidRPr="001A7D1E" w:rsidRDefault="00663DAE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102A7C5" w14:textId="77777777" w:rsidR="00663DAE" w:rsidRPr="001A7D1E" w:rsidRDefault="00663DAE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DEAE9BC" w14:textId="77777777" w:rsidR="00663DAE" w:rsidRPr="001A7D1E" w:rsidRDefault="00663DAE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815C1D8" w14:textId="77777777" w:rsidR="00663DAE" w:rsidRPr="001A7D1E" w:rsidRDefault="00663DAE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5BA33AB" w14:textId="77777777" w:rsidR="00663DAE" w:rsidRPr="001A7D1E" w:rsidRDefault="00663DAE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35CE371" w14:textId="77777777" w:rsidR="00663DAE" w:rsidRPr="001A7D1E" w:rsidRDefault="00663DAE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D8E21FE" w14:textId="77777777" w:rsidR="00663DAE" w:rsidRPr="001A7D1E" w:rsidRDefault="00663DAE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0BAF31B" w14:textId="77777777" w:rsidR="00663DAE" w:rsidRPr="001A7D1E" w:rsidRDefault="00663DAE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8C4488" w:rsidRPr="001A7D1E" w14:paraId="78E8F94A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E0AB01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Precios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0D2951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F6EE1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1947F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E9C2F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A46F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B1508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6AA92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8C4488" w:rsidRPr="001A7D1E" w14:paraId="57611D9B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B072D6" w14:textId="334EF1F4" w:rsidR="008C4488" w:rsidRPr="001A7D1E" w:rsidRDefault="00A1558E" w:rsidP="00A1558E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Inflación de </w:t>
                  </w:r>
                  <w:r w:rsidR="00A77CEA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p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recios al </w:t>
                  </w:r>
                  <w:r w:rsidR="00A77CEA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c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onsumidor (fin del periodo)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32456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9D22B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8.5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4A677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7.8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70A3C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48488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3.3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12920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3.7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79A2A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4.0</w:t>
                  </w:r>
                </w:p>
              </w:tc>
            </w:tr>
            <w:tr w:rsidR="00663DAE" w:rsidRPr="001A7D1E" w14:paraId="0BBBC76C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26F2BF3" w14:textId="77777777" w:rsidR="00663DAE" w:rsidRPr="001A7D1E" w:rsidRDefault="00663DAE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DF5AF1D" w14:textId="77777777" w:rsidR="00663DAE" w:rsidRDefault="00663DAE" w:rsidP="005438E6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54BE153" w14:textId="77777777" w:rsidR="00663DAE" w:rsidRDefault="00663DAE" w:rsidP="005438E6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B100C63" w14:textId="77777777" w:rsidR="00663DAE" w:rsidRDefault="00663DAE" w:rsidP="005438E6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1B806A3" w14:textId="77777777" w:rsidR="00663DAE" w:rsidRDefault="00663DAE" w:rsidP="005438E6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BE3586E" w14:textId="77777777" w:rsidR="00663DAE" w:rsidRDefault="00663DAE" w:rsidP="005438E6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BC45D29" w14:textId="77777777" w:rsidR="00663DAE" w:rsidRDefault="00663DAE" w:rsidP="005438E6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736C8A1" w14:textId="77777777" w:rsidR="00663DAE" w:rsidRDefault="00663DAE" w:rsidP="005438E6">
                  <w:pPr>
                    <w:spacing w:after="0" w:line="240" w:lineRule="auto"/>
                    <w:jc w:val="center"/>
                    <w:rPr>
                      <w:rFonts w:ascii="Segoe UI" w:hAnsi="Segoe UI" w:cs="Segoe UI"/>
                      <w:sz w:val="14"/>
                      <w:szCs w:val="14"/>
                    </w:rPr>
                  </w:pPr>
                </w:p>
              </w:tc>
            </w:tr>
            <w:tr w:rsidR="008C4488" w:rsidRPr="001A7D1E" w14:paraId="66C70AA4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B9ADB5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 xml:space="preserve">Tipo de Cambio 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49CFE5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B9678C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C63A27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B1D146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B61B82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4A2317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311388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 </w:t>
                  </w:r>
                </w:p>
              </w:tc>
            </w:tr>
            <w:tr w:rsidR="008C4488" w:rsidRPr="001A7D1E" w14:paraId="1F595BFF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F0254B" w14:textId="56620956" w:rsidR="008C4488" w:rsidRPr="001A7D1E" w:rsidRDefault="00A1558E" w:rsidP="00A1558E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026572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Nominal, p</w:t>
                  </w:r>
                  <w:r w:rsidR="004315A3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romedio del periodo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(RD$/US</w:t>
                  </w:r>
                  <w:r w:rsidR="002847D9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$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)</w:t>
                  </w:r>
                  <w:r w:rsidR="008C4488" w:rsidRPr="002847D9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1/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D3A7C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56.5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D86F1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57.1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2B5BA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55.0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676D9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56.0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E3C02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59.4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4F558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91398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</w:tr>
            <w:tr w:rsidR="008C4488" w:rsidRPr="001A7D1E" w14:paraId="476D7672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2AF897" w14:textId="4A79BBEE" w:rsidR="008C4488" w:rsidRPr="001A7D1E" w:rsidRDefault="004315A3" w:rsidP="00A1558E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026572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Nominal, f</w:t>
                  </w: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in del periodo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(RD$/US$)</w:t>
                  </w:r>
                  <w:r w:rsidR="008C4488" w:rsidRPr="002847D9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1/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8F801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58.2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32A86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57.3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738FB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56.2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5E76D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58.0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02EC6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61.1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3314E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B5258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</w:tr>
            <w:tr w:rsidR="008C4488" w:rsidRPr="001A7D1E" w14:paraId="376E5A18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65DB6A" w14:textId="10C5ED23" w:rsidR="008C4488" w:rsidRPr="001A7D1E" w:rsidRDefault="00A1558E" w:rsidP="00A1558E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4315A3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Real, fin del periodo </w:t>
                  </w:r>
                  <w:r w:rsidR="003D33D2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(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- depreciación)</w:t>
                  </w:r>
                  <w:r w:rsidR="008C4488" w:rsidRPr="002847D9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1/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9F4FD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-8.1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C6DF3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6.5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6F3C3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6.3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65088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-1.9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041B8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-0.4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9FC0C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-1.7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B3BD3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</w:tr>
            <w:tr w:rsidR="00663DAE" w:rsidRPr="001A7D1E" w14:paraId="383DF152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952F057" w14:textId="77777777" w:rsidR="00663DAE" w:rsidRPr="001A7D1E" w:rsidRDefault="00663DAE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65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DDB1192" w14:textId="77777777" w:rsidR="00663DAE" w:rsidRPr="0013086E" w:rsidRDefault="00663DAE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</w:p>
              </w:tc>
            </w:tr>
            <w:tr w:rsidR="008C4488" w:rsidRPr="001A7D1E" w14:paraId="0D5F89B6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831B45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 xml:space="preserve">Finanza </w:t>
                  </w:r>
                  <w:proofErr w:type="spellStart"/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Públicas</w:t>
                  </w:r>
                  <w:proofErr w:type="spellEnd"/>
                </w:p>
              </w:tc>
              <w:tc>
                <w:tcPr>
                  <w:tcW w:w="465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B9E3A9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(</w:t>
                  </w:r>
                  <w:proofErr w:type="spellStart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Porcentaje</w:t>
                  </w:r>
                  <w:proofErr w:type="spellEnd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del PIB)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</w:tr>
            <w:tr w:rsidR="008C4488" w:rsidRPr="001A7D1E" w14:paraId="07993D0D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2D141" w14:textId="3D942381" w:rsidR="008C4488" w:rsidRPr="001A7D1E" w:rsidRDefault="00A1558E" w:rsidP="00A1558E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Deuda del sector público consolidado</w:t>
                  </w:r>
                  <w:r w:rsidR="008C4488" w:rsidRPr="002847D9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2/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925EB1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71.4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4768F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61.8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93B70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58.8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E28BB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59.7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17FB4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58.1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10757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59.2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7639E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58.2</w:t>
                  </w:r>
                </w:p>
              </w:tc>
            </w:tr>
            <w:tr w:rsidR="008C4488" w:rsidRPr="001A7D1E" w14:paraId="73F1F70B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7CA2E" w14:textId="0E3DD9D0" w:rsidR="008C4488" w:rsidRPr="001A7D1E" w:rsidRDefault="00A1558E" w:rsidP="00A1558E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Balance del sector público consolidado</w:t>
                  </w:r>
                  <w:r w:rsidR="008C4488" w:rsidRPr="002847D9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2/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A411D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-9.0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E2C3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-3.7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04220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-3.6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999E9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-4.1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66B87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-3.9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C069E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-4.5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AAA7B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-3.8</w:t>
                  </w:r>
                </w:p>
              </w:tc>
            </w:tr>
            <w:tr w:rsidR="008C4488" w:rsidRPr="001A7D1E" w14:paraId="092F7F53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9F44BA" w14:textId="3A1C497B" w:rsidR="008C4488" w:rsidRPr="001A7D1E" w:rsidRDefault="00A1558E" w:rsidP="00A1558E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Balance primario del sector público consolidado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1C646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-4.3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45365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0.7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42567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0.6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FACE51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C9EC2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1.1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74FE7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0.5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51F4F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1.0</w:t>
                  </w:r>
                </w:p>
              </w:tc>
            </w:tr>
            <w:tr w:rsidR="008C4488" w:rsidRPr="001A7D1E" w14:paraId="675812DB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45396" w14:textId="67F5E65D" w:rsidR="008C4488" w:rsidRPr="00767719" w:rsidRDefault="00CF253B" w:rsidP="00CF253B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767719">
                    <w:rPr>
                      <w:rFonts w:ascii="Segoe UI" w:hAnsi="Segoe UI" w:cs="Segoe UI"/>
                      <w:sz w:val="14"/>
                      <w:szCs w:val="14"/>
                      <w:lang w:val="es-CL"/>
                    </w:rPr>
                    <w:t xml:space="preserve"> </w:t>
                  </w:r>
                  <w:r w:rsidR="00767719">
                    <w:rPr>
                      <w:rFonts w:ascii="Segoe UI" w:hAnsi="Segoe UI" w:cs="Segoe UI"/>
                      <w:sz w:val="14"/>
                      <w:szCs w:val="14"/>
                      <w:lang w:val="es-CL"/>
                    </w:rPr>
                    <w:t xml:space="preserve"> </w:t>
                  </w:r>
                  <w:hyperlink r:id="rId11" w:history="1">
                    <w:r w:rsidR="00C747A1" w:rsidRPr="00767719">
                      <w:rPr>
                        <w:rFonts w:ascii="Segoe UI" w:eastAsia="Times New Roman" w:hAnsi="Segoe UI" w:cs="Segoe UI"/>
                        <w:sz w:val="14"/>
                        <w:szCs w:val="14"/>
                        <w:lang w:val="es-CL"/>
                      </w:rPr>
                      <w:t xml:space="preserve">Balance del sector público no financiero (SPNF) </w:t>
                    </w:r>
                  </w:hyperlink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77A9C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-7.6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B96D71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-2.5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A877B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-2.7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04B3D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751B1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9C700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-3.9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83C63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-3.2</w:t>
                  </w:r>
                </w:p>
              </w:tc>
            </w:tr>
            <w:tr w:rsidR="008C4488" w:rsidRPr="001A7D1E" w14:paraId="4C176B79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D84489" w14:textId="3B1AC89F" w:rsidR="008C4488" w:rsidRPr="001A7D1E" w:rsidRDefault="006C3AAC" w:rsidP="006C3AA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Balance del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gobierno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central 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CA019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-7.9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AC55D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-2.9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673F8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FDE1A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C6D74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3D923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-3.4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1E1BA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-3.2</w:t>
                  </w:r>
                </w:p>
              </w:tc>
            </w:tr>
            <w:tr w:rsidR="008C4488" w:rsidRPr="001A7D1E" w14:paraId="5460F77B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82D554" w14:textId="13BAEF01" w:rsidR="008C4488" w:rsidRPr="001A7D1E" w:rsidRDefault="006C3AAC" w:rsidP="006C3AA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Ingresos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y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donaciones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3EBF3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14.2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3AC10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15.5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0C02C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15.3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D3994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AD3FB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16.4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715AE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16.0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B8C4C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15.5</w:t>
                  </w:r>
                </w:p>
              </w:tc>
            </w:tr>
            <w:tr w:rsidR="008C4488" w:rsidRPr="001A7D1E" w14:paraId="5F07E520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02FB95" w14:textId="056373FC" w:rsidR="008C4488" w:rsidRPr="001A7D1E" w:rsidRDefault="006C3AAC" w:rsidP="006C3AA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  <w:t xml:space="preserve">      </w:t>
                  </w:r>
                  <w:r w:rsidR="008C4488" w:rsidRPr="001A7D1E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  <w:t xml:space="preserve">Gasto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</w:rPr>
                    <w:t>primario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7A4B1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18.9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9E66A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15.3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D5C7B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15.7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5BEBF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16.0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78EBF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16.1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01AFF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15.8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C8378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15.1</w:t>
                  </w:r>
                </w:p>
              </w:tc>
            </w:tr>
            <w:tr w:rsidR="008C4488" w:rsidRPr="001A7D1E" w14:paraId="55C0771F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EDF2B6" w14:textId="13772F4B" w:rsidR="008C4488" w:rsidRPr="001A7D1E" w:rsidRDefault="006C3AAC" w:rsidP="006C3AA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Gasto en pago de interés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85142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62BC1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3.1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D6805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2.8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0770F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856CE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3.4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AFA41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3.6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37262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3.7</w:t>
                  </w:r>
                </w:p>
              </w:tc>
            </w:tr>
            <w:tr w:rsidR="008C4488" w:rsidRPr="001A7D1E" w14:paraId="29D73D8F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A6B3E1" w14:textId="56821B87" w:rsidR="008C4488" w:rsidRPr="001A7D1E" w:rsidRDefault="00713F30" w:rsidP="00713F3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Balance del resto del </w:t>
                  </w:r>
                  <w:r w:rsidR="008C4488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SPNF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4FB3D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B3885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0.4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832D4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0.6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6CE04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E5A5D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1807F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-0.5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F666E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</w:tr>
            <w:tr w:rsidR="00663DAE" w:rsidRPr="001A7D1E" w14:paraId="622E5F80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7431239" w14:textId="77777777" w:rsidR="00663DAE" w:rsidRPr="001A7D1E" w:rsidRDefault="00663DAE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65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531EDDC3" w14:textId="77777777" w:rsidR="00663DAE" w:rsidRPr="0013086E" w:rsidRDefault="00663DAE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</w:p>
              </w:tc>
            </w:tr>
            <w:tr w:rsidR="008C4488" w:rsidRPr="001A7D1E" w14:paraId="30FFE9C7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6157EA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Sector Financiero</w:t>
                  </w:r>
                </w:p>
              </w:tc>
              <w:tc>
                <w:tcPr>
                  <w:tcW w:w="465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7671FE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(Cambio </w:t>
                  </w:r>
                  <w:proofErr w:type="spellStart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anual</w:t>
                  </w:r>
                  <w:proofErr w:type="spellEnd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en</w:t>
                  </w:r>
                  <w:proofErr w:type="spellEnd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porcentaje</w:t>
                  </w:r>
                  <w:proofErr w:type="spellEnd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)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</w:tr>
            <w:tr w:rsidR="008C4488" w:rsidRPr="001A7D1E" w14:paraId="04823777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B83C3A" w14:textId="3D8DF699" w:rsidR="008C4488" w:rsidRPr="008C4488" w:rsidRDefault="006B05F1" w:rsidP="006B05F1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SV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SV"/>
                    </w:rPr>
                    <w:t xml:space="preserve">  </w:t>
                  </w:r>
                  <w:r w:rsidR="008C4488" w:rsidRPr="008C4488">
                    <w:rPr>
                      <w:rFonts w:ascii="Segoe UI" w:eastAsia="Times New Roman" w:hAnsi="Segoe UI" w:cs="Segoe UI"/>
                      <w:sz w:val="14"/>
                      <w:szCs w:val="14"/>
                      <w:lang w:val="es-SV"/>
                    </w:rPr>
                    <w:t>Dinero en sentido amplio (M3)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EB5B1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21.2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12F31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13.4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03F8B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6.3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68818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14.4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3D359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11.3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3DA1C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10.3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73DA1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9.5</w:t>
                  </w:r>
                </w:p>
              </w:tc>
            </w:tr>
            <w:tr w:rsidR="008C4488" w:rsidRPr="001A7D1E" w14:paraId="7196980B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968FFF" w14:textId="0959A96E" w:rsidR="008C4488" w:rsidRPr="001A7D1E" w:rsidRDefault="006B05F1" w:rsidP="006B05F1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Crédito al se</w:t>
                  </w:r>
                  <w:r w:rsidR="003733E8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c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tor privado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1EF33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656D0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11.6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15976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16.6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5DA0F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19.7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F5AC4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13.5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DFEE1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12.3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BF07A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12.6</w:t>
                  </w:r>
                </w:p>
              </w:tc>
            </w:tr>
            <w:tr w:rsidR="008C4488" w:rsidRPr="001A7D1E" w14:paraId="2DDB66F3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53C52C" w14:textId="4EDE3657" w:rsidR="008C4488" w:rsidRPr="001A7D1E" w:rsidRDefault="006B05F1" w:rsidP="006B05F1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Activos domésticos netos del sistema bancario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C0077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EB624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11.2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2730C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9.9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868E4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13.5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0DAAD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19.0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5FBA8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9.2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84486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10.2</w:t>
                  </w:r>
                </w:p>
              </w:tc>
            </w:tr>
            <w:tr w:rsidR="008C4488" w:rsidRPr="001A7D1E" w14:paraId="12ACDCC7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093A97" w14:textId="127082DA" w:rsidR="008C4488" w:rsidRPr="001A7D1E" w:rsidRDefault="006B05F1" w:rsidP="006B05F1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>Tasa de inter</w:t>
                  </w:r>
                  <w:r w:rsidR="008C4488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>é</w:t>
                  </w:r>
                  <w:r w:rsidR="008C4488" w:rsidRPr="001A7D1E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>s de pol</w:t>
                  </w:r>
                  <w:r w:rsidR="008C4488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>í</w:t>
                  </w:r>
                  <w:r w:rsidR="008C4488" w:rsidRPr="001A7D1E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>tica monetaria</w:t>
                  </w:r>
                  <w:r w:rsidR="008C4488" w:rsidRPr="002847D9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vertAlign w:val="superscript"/>
                      <w:lang w:val="es-CL"/>
                    </w:rPr>
                    <w:t>1/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19832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CA4AC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3.5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A2E68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8.5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72415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7.0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40F22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96BCA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D1120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</w:tr>
            <w:tr w:rsidR="008C4488" w:rsidRPr="001A7D1E" w14:paraId="6B717881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9E7020" w14:textId="2EF8F8B4" w:rsidR="008C4488" w:rsidRPr="001A7D1E" w:rsidRDefault="006B05F1" w:rsidP="006B05F1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Tasa promedio de depósito (1-año; </w:t>
                  </w:r>
                  <w:r w:rsidR="00453235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porcentaje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)</w:t>
                  </w:r>
                  <w:r w:rsidR="008C4488" w:rsidRPr="002847D9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1/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40271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2837F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2.3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F777F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9.9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C2F19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8.6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B9F43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9.8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D984D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CB11A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</w:tr>
            <w:tr w:rsidR="008C4488" w:rsidRPr="001A7D1E" w14:paraId="03B1CE31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28CD38" w14:textId="475E2DF7" w:rsidR="008C4488" w:rsidRPr="001A7D1E" w:rsidRDefault="006B05F1" w:rsidP="006B05F1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Tasa promedio de préstamo (1-año; p</w:t>
                  </w:r>
                  <w:r w:rsidR="00453235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o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rcentaje)</w:t>
                  </w:r>
                  <w:r w:rsidR="008C4488" w:rsidRPr="002847D9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1/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55CDF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9.9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CB3081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9.2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10B26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13.5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992F0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13.6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AED57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15.1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3F5A71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7D8DB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c>
            </w:tr>
            <w:tr w:rsidR="00663DAE" w:rsidRPr="001A7D1E" w14:paraId="13B0F97D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D6075AB" w14:textId="77777777" w:rsidR="00663DAE" w:rsidRPr="001A7D1E" w:rsidRDefault="00663DAE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65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88F11F7" w14:textId="77777777" w:rsidR="00663DAE" w:rsidRPr="0013086E" w:rsidRDefault="00663DAE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</w:p>
              </w:tc>
            </w:tr>
            <w:tr w:rsidR="008C4488" w:rsidRPr="001A7D1E" w14:paraId="1E4992C1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3FF043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b/>
                      <w:bCs/>
                      <w:sz w:val="14"/>
                      <w:szCs w:val="14"/>
                    </w:rPr>
                    <w:t>Balanza de Pagos</w:t>
                  </w:r>
                </w:p>
              </w:tc>
              <w:tc>
                <w:tcPr>
                  <w:tcW w:w="465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F11899" w14:textId="77777777" w:rsidR="008C4488" w:rsidRPr="001A7D1E" w:rsidRDefault="008C4488" w:rsidP="005438E6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(</w:t>
                  </w:r>
                  <w:proofErr w:type="spellStart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Porcentaje</w:t>
                  </w:r>
                  <w:proofErr w:type="spellEnd"/>
                  <w:r w:rsidRPr="0013086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del PIB)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</w:tr>
            <w:tr w:rsidR="008C4488" w:rsidRPr="001A7D1E" w14:paraId="55D1BF11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8FC28B" w14:textId="03083FBA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Cuenta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corriente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270C7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-1.7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15ED0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-2.8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32D71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-5.8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71A9D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8DE1A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-3.3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163B6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-2.5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F29F2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-2.5</w:t>
                  </w:r>
                </w:p>
              </w:tc>
            </w:tr>
            <w:tr w:rsidR="008C4488" w:rsidRPr="001A7D1E" w14:paraId="627253BD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9BC5B7" w14:textId="53EFA693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Bienes,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netos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FCF5D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-8.7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6F21D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-12.4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717FD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-15.1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41E29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-13.1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9EE7B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-12.8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2C330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-12.0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AF057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-11.4</w:t>
                  </w:r>
                </w:p>
              </w:tc>
            </w:tr>
            <w:tr w:rsidR="008C4488" w:rsidRPr="001A7D1E" w14:paraId="685DF87F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0376DD" w14:textId="38AB7D1A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Servicios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netos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F3EA21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1.8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69D8C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3.9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ADBCC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4.8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31105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4D9E5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6.7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C078A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6.6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E15A9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6.4</w:t>
                  </w:r>
                </w:p>
              </w:tc>
            </w:tr>
            <w:tr w:rsidR="008C4488" w:rsidRPr="001A7D1E" w14:paraId="03BE24DD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131A91" w14:textId="61841C6A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Ingreso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,</w:t>
                  </w:r>
                  <w:r w:rsidR="00150CE3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neto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EF253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7452A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5.7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94958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4.5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3A593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7CF9F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2.7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8DEC3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2.9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ABED5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2.6</w:t>
                  </w:r>
                </w:p>
              </w:tc>
            </w:tr>
            <w:tr w:rsidR="008C4488" w:rsidRPr="001A7D1E" w14:paraId="4B70BC37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98F379" w14:textId="3B1113DE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Cuenta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de capital 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C143D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549BF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F0658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734C7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4A924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DAAE9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68E04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</w:tr>
            <w:tr w:rsidR="008C4488" w:rsidRPr="001A7D1E" w14:paraId="54DEAEFE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F15B34" w14:textId="4C6DC203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Cuenta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financiera</w:t>
                  </w:r>
                  <w:r w:rsidR="008C4488" w:rsidRPr="002847D9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</w:rPr>
                    <w:t>3/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44AFD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1A655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5.7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AE376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6.7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8F8BB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5.2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EF9F2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2.4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BA8E4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3.3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F179E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2.8</w:t>
                  </w:r>
                </w:p>
              </w:tc>
            </w:tr>
            <w:tr w:rsidR="008C4488" w:rsidRPr="001A7D1E" w14:paraId="7081C405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EC2DD2" w14:textId="21724567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Inversión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extranjera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directa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neta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A6D28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E7DEB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3.4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57B92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3.6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668FC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A7200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3.6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83CE9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3.5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990C8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3.5</w:t>
                  </w:r>
                </w:p>
              </w:tc>
            </w:tr>
            <w:tr w:rsidR="008C4488" w:rsidRPr="001A7D1E" w14:paraId="799E0D11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49EA21" w14:textId="2123AC04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Inversión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de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portafolio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neta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A7C6A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7.1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7C1C1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2.2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4EF6D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2.9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5FCD4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2.0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52E15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1.8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9C1B5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D132F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1.1</w:t>
                  </w:r>
                </w:p>
              </w:tc>
            </w:tr>
            <w:tr w:rsidR="008C4488" w:rsidRPr="001A7D1E" w14:paraId="302A2185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683A5D" w14:textId="027083CB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Derivados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financieros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netos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93DEE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DBD51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8B50B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A34EB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0FE06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21B1E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B2D1D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0.0</w:t>
                  </w:r>
                </w:p>
              </w:tc>
            </w:tr>
            <w:tr w:rsidR="008C4488" w:rsidRPr="001A7D1E" w14:paraId="4909BC39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54A60F" w14:textId="006EE6DF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 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Otras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inversiones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netas</w:t>
                  </w:r>
                  <w:proofErr w:type="spellEnd"/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7376D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-5.1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A438A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0.1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1E513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0.2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1F3A3A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0964D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-3.1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6F490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-3.2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525EC0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-1.8</w:t>
                  </w:r>
                </w:p>
              </w:tc>
            </w:tr>
            <w:tr w:rsidR="008C4488" w:rsidRPr="001A7D1E" w14:paraId="274C4CC7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86B3B2" w14:textId="247CE5DA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Cambio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en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reservas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 xml:space="preserve"> (- </w:t>
                  </w:r>
                  <w:proofErr w:type="spellStart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aumento</w:t>
                  </w:r>
                  <w:proofErr w:type="spellEnd"/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A8771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-2.5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EDE63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-2.4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A536EE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-1.3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38FA5C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E99A94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1.7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DBDCA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-0.8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ADF2E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-0.4</w:t>
                  </w:r>
                </w:p>
              </w:tc>
            </w:tr>
            <w:tr w:rsidR="008C4488" w:rsidRPr="001A7D1E" w14:paraId="3D7C3BC5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2A455C" w14:textId="553C4800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Reservas </w:t>
                  </w:r>
                  <w:r w:rsidR="00C22872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internacionales (</w:t>
                  </w:r>
                  <w:r w:rsidR="00E3283A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millones</w:t>
                  </w:r>
                  <w:r w:rsidR="008C4488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de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US$)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B3B6CF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10,752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78FB9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13,033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599CC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14,408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DFBFC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15,464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CE091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13,388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3FAD97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14,448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F36BD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14,973</w:t>
                  </w:r>
                </w:p>
              </w:tc>
            </w:tr>
            <w:tr w:rsidR="008C4488" w:rsidRPr="001A7D1E" w14:paraId="29A52CAB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0DBE4B" w14:textId="667A5F63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 </w:t>
                  </w:r>
                  <w:r w:rsidR="008C4488"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Deuda externa total (en porcentaje del PIB)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4A3942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56.6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83760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47.8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542809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39.9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90C958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43.2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891A4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43.7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C1B916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45.7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E649A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45.2</w:t>
                  </w:r>
                </w:p>
              </w:tc>
            </w:tr>
            <w:tr w:rsidR="008C4488" w:rsidRPr="001A7D1E" w14:paraId="783D0297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AF663A" w14:textId="48E694B6" w:rsidR="008C4488" w:rsidRPr="001A7D1E" w:rsidRDefault="0056423C" w:rsidP="0056423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 xml:space="preserve">    </w:t>
                  </w:r>
                  <w:r w:rsidR="008C4488" w:rsidRPr="001A7D1E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>de los cuales: Sector público</w:t>
                  </w:r>
                  <w:r w:rsidR="00D34F2F">
                    <w:rPr>
                      <w:rFonts w:ascii="Segoe UI" w:eastAsia="Times New Roman" w:hAnsi="Segoe UI" w:cs="Segoe UI"/>
                      <w:color w:val="000000"/>
                      <w:sz w:val="14"/>
                      <w:szCs w:val="14"/>
                      <w:lang w:val="es-CL"/>
                    </w:rPr>
                    <w:t xml:space="preserve"> consolidado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F18B3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40.4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75EBF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35.3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EAEED3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33.2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D8EB0B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34.2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BDEF6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34.6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95CCD5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36.0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DFEABD" w14:textId="77777777" w:rsidR="008C4488" w:rsidRPr="001A7D1E" w:rsidRDefault="008C4488" w:rsidP="005438E6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>
                    <w:rPr>
                      <w:rFonts w:ascii="Segoe UI" w:hAnsi="Segoe UI" w:cs="Segoe UI"/>
                      <w:sz w:val="14"/>
                      <w:szCs w:val="14"/>
                    </w:rPr>
                    <w:t>35.3</w:t>
                  </w:r>
                </w:p>
              </w:tc>
            </w:tr>
            <w:tr w:rsidR="008C4488" w:rsidRPr="001A7D1E" w14:paraId="703E6479" w14:textId="77777777" w:rsidTr="005C09FD">
              <w:trPr>
                <w:trHeight w:val="20"/>
              </w:trPr>
              <w:tc>
                <w:tcPr>
                  <w:tcW w:w="3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9941F5" w14:textId="04A2FF38" w:rsidR="008C4488" w:rsidRPr="001A7D1E" w:rsidRDefault="008C4488" w:rsidP="00C22872">
                  <w:pPr>
                    <w:spacing w:after="0" w:line="240" w:lineRule="auto"/>
                    <w:rPr>
                      <w:rFonts w:ascii="Segoe UI" w:eastAsia="Times New Roman" w:hAnsi="Segoe UI" w:cs="Segoe UI"/>
                      <w:i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842B72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838D47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color w:val="333333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FC6F7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10DA54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94B83D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6CA90C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9DDD45" w14:textId="77777777" w:rsidR="008C4488" w:rsidRPr="001A7D1E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</w:rPr>
                    <w:t> </w:t>
                  </w:r>
                </w:p>
              </w:tc>
            </w:tr>
            <w:tr w:rsidR="008C4488" w:rsidRPr="00B46A76" w14:paraId="60503F4C" w14:textId="77777777" w:rsidTr="005C09FD">
              <w:trPr>
                <w:trHeight w:val="20"/>
              </w:trPr>
              <w:tc>
                <w:tcPr>
                  <w:tcW w:w="81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4A16FF1" w14:textId="0CDC23AF" w:rsidR="008C4488" w:rsidRPr="00B46A76" w:rsidRDefault="008C4488" w:rsidP="005438E6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</w:pP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Fuentes: Autoridades del país; Banco Mundial; y cálculos y estimaciones del personal </w:t>
                  </w:r>
                  <w:r w:rsidR="004B77FB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técnico 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del FMI.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br/>
                  </w:r>
                  <w:r w:rsidRPr="00225EA7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1/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Últimos datos disponible.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br/>
                  </w:r>
                  <w:r w:rsidRPr="00225EA7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2/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El sector público consolidado incluye el gobierno central, el resto del sector público no financiero, es decir, algunas entidades descentralizadas y autónomas asociadas al gobierno central, fondos de la seguridad social, el gobierno local y compañías públicas no financieras y la deuda </w:t>
                  </w:r>
                  <w:proofErr w:type="spellStart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>cuasi-fiscal</w:t>
                  </w:r>
                  <w:proofErr w:type="spellEnd"/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del banco central.</w:t>
                  </w:r>
                  <w:r w:rsidRPr="001A7D1E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br/>
                  </w:r>
                  <w:r w:rsidRPr="00B46A76">
                    <w:rPr>
                      <w:rFonts w:ascii="Segoe UI" w:eastAsia="Times New Roman" w:hAnsi="Segoe UI" w:cs="Segoe UI"/>
                      <w:sz w:val="14"/>
                      <w:szCs w:val="14"/>
                      <w:vertAlign w:val="superscript"/>
                      <w:lang w:val="es-CL"/>
                    </w:rPr>
                    <w:t>3/</w:t>
                  </w:r>
                  <w:r w:rsidRPr="00B46A76">
                    <w:rPr>
                      <w:rFonts w:ascii="Segoe UI" w:eastAsia="Times New Roman" w:hAnsi="Segoe UI" w:cs="Segoe UI"/>
                      <w:sz w:val="14"/>
                      <w:szCs w:val="14"/>
                      <w:lang w:val="es-CL"/>
                    </w:rPr>
                    <w:t xml:space="preserve"> Excluye las reservas.</w:t>
                  </w:r>
                </w:p>
              </w:tc>
            </w:tr>
          </w:tbl>
          <w:p w14:paraId="01994325" w14:textId="77777777" w:rsidR="008C4488" w:rsidRPr="00B46A76" w:rsidRDefault="008C4488" w:rsidP="005438E6">
            <w:pPr>
              <w:rPr>
                <w:lang w:val="es-CL"/>
              </w:rPr>
            </w:pPr>
          </w:p>
        </w:tc>
      </w:tr>
    </w:tbl>
    <w:p w14:paraId="2815AE02" w14:textId="25114630" w:rsidR="00704CAB" w:rsidRPr="008C4488" w:rsidRDefault="00704CAB" w:rsidP="00704CAB">
      <w:pPr>
        <w:rPr>
          <w:lang w:val="es-SV"/>
        </w:rPr>
      </w:pPr>
    </w:p>
    <w:bookmarkEnd w:id="0"/>
    <w:p w14:paraId="03C6CCBA" w14:textId="4888C8C6" w:rsidR="00B4118D" w:rsidRDefault="00B4118D" w:rsidP="00B4118D">
      <w:pPr>
        <w:bidi/>
        <w:rPr>
          <w:lang w:eastAsia="zh-CN"/>
        </w:rPr>
      </w:pPr>
    </w:p>
    <w:sectPr w:rsidR="00B4118D" w:rsidSect="005B2C4F">
      <w:headerReference w:type="even" r:id="rId12"/>
      <w:headerReference w:type="default" r:id="rId13"/>
      <w:headerReference w:type="first" r:id="rId14"/>
      <w:footerReference w:type="first" r:id="rId15"/>
      <w:footnotePr>
        <w:numRestart w:val="eachSect"/>
      </w:footnotePr>
      <w:pgSz w:w="12240" w:h="15840"/>
      <w:pgMar w:top="1440" w:right="1944" w:bottom="1440" w:left="194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C933" w14:textId="77777777" w:rsidR="00A404D9" w:rsidRDefault="00A404D9">
      <w:r>
        <w:separator/>
      </w:r>
    </w:p>
  </w:endnote>
  <w:endnote w:type="continuationSeparator" w:id="0">
    <w:p w14:paraId="3D90D607" w14:textId="77777777" w:rsidR="00A404D9" w:rsidRDefault="00A4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74CF" w14:textId="77777777" w:rsidR="006564AB" w:rsidRDefault="004B55E3" w:rsidP="004B55E3">
    <w:pPr>
      <w:pStyle w:val="Footer"/>
      <w:tabs>
        <w:tab w:val="clear" w:pos="4320"/>
        <w:tab w:val="clear" w:pos="8640"/>
      </w:tabs>
      <w:ind w:left="-18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B12489" wp14:editId="37D36D72">
          <wp:simplePos x="0" y="0"/>
          <wp:positionH relativeFrom="page">
            <wp:align>right</wp:align>
          </wp:positionH>
          <wp:positionV relativeFrom="paragraph">
            <wp:posOffset>-184150</wp:posOffset>
          </wp:positionV>
          <wp:extent cx="7772400" cy="914253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_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94" t="-587" r="-594" b="-587"/>
                  <a:stretch/>
                </pic:blipFill>
                <pic:spPr>
                  <a:xfrm>
                    <a:off x="0" y="0"/>
                    <a:ext cx="7772400" cy="914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B173" w14:textId="77777777" w:rsidR="00A404D9" w:rsidRDefault="00A404D9" w:rsidP="00544B77">
      <w:r>
        <w:separator/>
      </w:r>
    </w:p>
  </w:footnote>
  <w:footnote w:type="continuationSeparator" w:id="0">
    <w:p w14:paraId="520D4BC4" w14:textId="77777777" w:rsidR="00A404D9" w:rsidRDefault="00A404D9">
      <w:r>
        <w:continuationSeparator/>
      </w:r>
    </w:p>
  </w:footnote>
  <w:footnote w:id="1">
    <w:p w14:paraId="536F5D82" w14:textId="77777777" w:rsidR="007E26CF" w:rsidRPr="00492E44" w:rsidRDefault="007E26CF" w:rsidP="007E26CF">
      <w:pPr>
        <w:pStyle w:val="FootnoteText"/>
        <w:rPr>
          <w:sz w:val="16"/>
          <w:szCs w:val="16"/>
          <w:lang w:val="es-SV"/>
        </w:rPr>
      </w:pPr>
      <w:r>
        <w:rPr>
          <w:rStyle w:val="FootnoteReference"/>
        </w:rPr>
        <w:footnoteRef/>
      </w:r>
      <w:r w:rsidRPr="008F3B42">
        <w:rPr>
          <w:lang w:val="es-ES"/>
        </w:rPr>
        <w:t xml:space="preserve"> </w:t>
      </w:r>
      <w:r w:rsidRPr="00CA6876">
        <w:rPr>
          <w:sz w:val="16"/>
          <w:szCs w:val="16"/>
          <w:lang w:val="es-SV"/>
        </w:rPr>
        <w:t xml:space="preserve">Conforme al Artículo IV de su Convenio Constitutivo, el FMI mantiene conversaciones bilaterales con sus miembros, habitualmente todos los años. </w:t>
      </w:r>
      <w:r w:rsidRPr="00492E44">
        <w:rPr>
          <w:sz w:val="16"/>
          <w:szCs w:val="16"/>
          <w:lang w:val="es-SV"/>
        </w:rPr>
        <w:t xml:space="preserve">Un equipo de funcionarios del FMI visita el país, recaba información económica y financiera y analiza con las autoridades la evolución del país y sus políticas en materia económica. Tras regresar a la sede del FMI, los funcionarios elaboran un informe que sirve de base para el análisis del </w:t>
      </w:r>
      <w:proofErr w:type="gramStart"/>
      <w:r w:rsidRPr="00492E44">
        <w:rPr>
          <w:sz w:val="16"/>
          <w:szCs w:val="16"/>
          <w:lang w:val="es-SV"/>
        </w:rPr>
        <w:t>Directorio Ejecutivo</w:t>
      </w:r>
      <w:proofErr w:type="gramEnd"/>
      <w:r w:rsidRPr="00492E44">
        <w:rPr>
          <w:sz w:val="16"/>
          <w:szCs w:val="16"/>
          <w:lang w:val="es-SV"/>
        </w:rPr>
        <w:t>.</w:t>
      </w:r>
    </w:p>
  </w:footnote>
  <w:footnote w:id="2">
    <w:p w14:paraId="5F52DA76" w14:textId="13AC1B49" w:rsidR="00FB3744" w:rsidRPr="00FB3744" w:rsidRDefault="00FB3744" w:rsidP="00FB3744">
      <w:pPr>
        <w:pStyle w:val="FootnoteText"/>
        <w:spacing w:after="120"/>
        <w:rPr>
          <w:sz w:val="18"/>
          <w:szCs w:val="18"/>
          <w:highlight w:val="yellow"/>
          <w:lang w:val="es-SV"/>
        </w:rPr>
      </w:pPr>
      <w:r>
        <w:rPr>
          <w:rStyle w:val="FootnoteReference"/>
          <w:sz w:val="16"/>
          <w:szCs w:val="16"/>
        </w:rPr>
        <w:footnoteRef/>
      </w:r>
      <w:r w:rsidRPr="00FB3744">
        <w:rPr>
          <w:lang w:val="es-SV"/>
        </w:rPr>
        <w:t xml:space="preserve"> </w:t>
      </w:r>
      <w:r w:rsidRPr="00FB3744">
        <w:rPr>
          <w:sz w:val="16"/>
          <w:lang w:val="es-SV"/>
        </w:rPr>
        <w:t>El Convenio Constitutivo del FMI establece que la publicación de documentos que se refieren a los países miembros es voluntaria y requiere el consentimiento del país miembro. Las autoridades aún no han comunicado su decisión sobre la publicación del memorando del personal técnico.</w:t>
      </w:r>
      <w:r w:rsidRPr="00FB3744">
        <w:rPr>
          <w:sz w:val="18"/>
          <w:lang w:val="es-SV"/>
        </w:rPr>
        <w:t xml:space="preserve"> </w:t>
      </w:r>
    </w:p>
  </w:footnote>
  <w:footnote w:id="3">
    <w:p w14:paraId="2719A449" w14:textId="76D4F569" w:rsidR="00D617C9" w:rsidRPr="00DE5B88" w:rsidRDefault="00D617C9" w:rsidP="00070C53">
      <w:pPr>
        <w:pStyle w:val="FootnoteText"/>
        <w:spacing w:afterLines="90" w:after="216"/>
        <w:rPr>
          <w:sz w:val="16"/>
          <w:szCs w:val="16"/>
          <w:lang w:val="es-SV"/>
        </w:rPr>
      </w:pPr>
      <w:r w:rsidRPr="00070C53">
        <w:rPr>
          <w:rStyle w:val="FootnoteReference"/>
          <w:sz w:val="16"/>
          <w:szCs w:val="16"/>
        </w:rPr>
        <w:footnoteRef/>
      </w:r>
      <w:r w:rsidRPr="00DE5B88">
        <w:rPr>
          <w:sz w:val="16"/>
          <w:szCs w:val="16"/>
          <w:lang w:val="es-SV"/>
        </w:rPr>
        <w:t xml:space="preserve"> </w:t>
      </w:r>
      <w:r w:rsidR="00DE5B88" w:rsidRPr="00493D01">
        <w:rPr>
          <w:sz w:val="16"/>
          <w:szCs w:val="16"/>
          <w:lang w:val="es-SV"/>
        </w:rPr>
        <w:t xml:space="preserve">Al concluir las deliberaciones, la </w:t>
      </w:r>
      <w:proofErr w:type="gramStart"/>
      <w:r w:rsidR="00DE5B88" w:rsidRPr="00493D01">
        <w:rPr>
          <w:sz w:val="16"/>
          <w:szCs w:val="16"/>
          <w:lang w:val="es-SV"/>
        </w:rPr>
        <w:t>Directora</w:t>
      </w:r>
      <w:proofErr w:type="gramEnd"/>
      <w:r w:rsidR="00DE5B88" w:rsidRPr="00493D01">
        <w:rPr>
          <w:sz w:val="16"/>
          <w:szCs w:val="16"/>
          <w:lang w:val="es-SV"/>
        </w:rPr>
        <w:t xml:space="preserve"> Gerente, como </w:t>
      </w:r>
      <w:proofErr w:type="gramStart"/>
      <w:r w:rsidR="00DE5B88" w:rsidRPr="00493D01">
        <w:rPr>
          <w:sz w:val="16"/>
          <w:szCs w:val="16"/>
          <w:lang w:val="es-SV"/>
        </w:rPr>
        <w:t>Presidenta</w:t>
      </w:r>
      <w:proofErr w:type="gramEnd"/>
      <w:r w:rsidR="00DE5B88" w:rsidRPr="00493D01">
        <w:rPr>
          <w:sz w:val="16"/>
          <w:szCs w:val="16"/>
          <w:lang w:val="es-SV"/>
        </w:rPr>
        <w:t xml:space="preserve"> del Directorio, resume las opiniones de los </w:t>
      </w:r>
      <w:proofErr w:type="gramStart"/>
      <w:r w:rsidR="00DE5B88" w:rsidRPr="00493D01">
        <w:rPr>
          <w:sz w:val="16"/>
          <w:szCs w:val="16"/>
          <w:lang w:val="es-SV"/>
        </w:rPr>
        <w:t>Directores Ejecutivos</w:t>
      </w:r>
      <w:proofErr w:type="gramEnd"/>
      <w:r w:rsidR="00DE5B88" w:rsidRPr="00493D01">
        <w:rPr>
          <w:sz w:val="16"/>
          <w:szCs w:val="16"/>
          <w:lang w:val="es-SV"/>
        </w:rPr>
        <w:t xml:space="preserve">, y el resumen se comunica a las autoridades del país. </w:t>
      </w:r>
      <w:r w:rsidR="00DE5B88" w:rsidRPr="00DE5B88">
        <w:rPr>
          <w:sz w:val="16"/>
          <w:szCs w:val="16"/>
          <w:lang w:val="es-SV"/>
        </w:rPr>
        <w:t>En el siguiente enlace consta una explicación de las expresiones utilizadas en las exposiciones sumarias</w:t>
      </w:r>
      <w:r w:rsidR="00DE5B88" w:rsidRPr="008F3B42">
        <w:rPr>
          <w:lang w:val="es-ES"/>
        </w:rPr>
        <w:t>:</w:t>
      </w:r>
      <w:r w:rsidR="00DE5B88">
        <w:rPr>
          <w:sz w:val="16"/>
          <w:szCs w:val="16"/>
          <w:lang w:val="es-ES"/>
        </w:rPr>
        <w:t xml:space="preserve"> </w:t>
      </w:r>
      <w:hyperlink r:id="rId1" w:history="1">
        <w:r w:rsidR="00DE5B88" w:rsidRPr="00BF7864">
          <w:rPr>
            <w:rStyle w:val="Hyperlink"/>
            <w:sz w:val="16"/>
            <w:szCs w:val="16"/>
            <w:lang w:val="es-SV"/>
          </w:rPr>
          <w:t>http://www.IMF.org/external/np/sec/misc/qualifiers.htm</w:t>
        </w:r>
      </w:hyperlink>
      <w:r w:rsidRPr="00DE5B88">
        <w:rPr>
          <w:sz w:val="16"/>
          <w:szCs w:val="16"/>
          <w:lang w:val="es-S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340C" w14:textId="77777777" w:rsidR="006564AB" w:rsidRDefault="00E64E53" w:rsidP="0017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6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4070A6" w14:textId="77777777" w:rsidR="006564AB" w:rsidRDefault="00656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A933" w14:textId="77777777" w:rsidR="006564AB" w:rsidRPr="00415F22" w:rsidRDefault="00415F22" w:rsidP="00415F22">
    <w:pPr>
      <w:pStyle w:val="Header"/>
      <w:tabs>
        <w:tab w:val="clear" w:pos="4320"/>
        <w:tab w:val="center" w:pos="4680"/>
      </w:tabs>
      <w:jc w:val="center"/>
      <w:rPr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C695" w14:textId="04BF60BE" w:rsidR="006564AB" w:rsidRDefault="00CA6876" w:rsidP="00CA6876">
    <w:pPr>
      <w:pStyle w:val="Header"/>
      <w:tabs>
        <w:tab w:val="clear" w:pos="4320"/>
        <w:tab w:val="clear" w:pos="8640"/>
        <w:tab w:val="left" w:pos="7404"/>
      </w:tabs>
      <w:ind w:left="-171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1572A2E" wp14:editId="6147B486">
          <wp:simplePos x="0" y="0"/>
          <wp:positionH relativeFrom="page">
            <wp:posOffset>0</wp:posOffset>
          </wp:positionH>
          <wp:positionV relativeFrom="paragraph">
            <wp:posOffset>-452755</wp:posOffset>
          </wp:positionV>
          <wp:extent cx="7752969" cy="1216152"/>
          <wp:effectExtent l="0" t="0" r="635" b="0"/>
          <wp:wrapNone/>
          <wp:docPr id="11" name="Picture 1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2969" cy="121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10F1AFF" w14:textId="74EEB5BF" w:rsidR="00103F4A" w:rsidRDefault="00103F4A" w:rsidP="00103F4A">
    <w:pPr>
      <w:pStyle w:val="Header"/>
      <w:tabs>
        <w:tab w:val="clear" w:pos="4320"/>
        <w:tab w:val="clear" w:pos="8640"/>
      </w:tabs>
      <w:spacing w:after="0" w:line="240" w:lineRule="auto"/>
      <w:ind w:left="-1714" w:right="-1195"/>
      <w:jc w:val="right"/>
      <w:rPr>
        <w:color w:val="004C97" w:themeColor="text2"/>
        <w:sz w:val="24"/>
      </w:rPr>
    </w:pPr>
  </w:p>
  <w:p w14:paraId="2B8B6C73" w14:textId="7B825E9E" w:rsidR="00B04EF2" w:rsidRPr="00264E22" w:rsidRDefault="00CA6876" w:rsidP="002136FC">
    <w:pPr>
      <w:pStyle w:val="webnumber"/>
      <w:spacing w:before="240"/>
    </w:pPr>
    <w:r>
      <w:t>CP</w:t>
    </w:r>
    <w:r w:rsidR="00562E6A">
      <w:t>25</w:t>
    </w:r>
    <w:r w:rsidR="00C959FB" w:rsidRPr="00264E22">
      <w:t>/</w:t>
    </w:r>
    <w:r w:rsidR="00562E6A">
      <w:t>[</w:t>
    </w:r>
    <w:r w:rsidR="00C959FB" w:rsidRPr="00264E22">
      <w:t>XX</w:t>
    </w:r>
    <w:r w:rsidR="00B04EF2" w:rsidRPr="00264E22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91A0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C4061"/>
    <w:multiLevelType w:val="multilevel"/>
    <w:tmpl w:val="EAD2248A"/>
    <w:lvl w:ilvl="0">
      <w:start w:val="1"/>
      <w:numFmt w:val="bullet"/>
      <w:pStyle w:val="ListParagraph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08C42FD"/>
    <w:multiLevelType w:val="multilevel"/>
    <w:tmpl w:val="84788A78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0EA15A1"/>
    <w:multiLevelType w:val="multilevel"/>
    <w:tmpl w:val="FAA42BFC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 w16cid:durableId="886572356">
    <w:abstractNumId w:val="5"/>
  </w:num>
  <w:num w:numId="2" w16cid:durableId="1226449468">
    <w:abstractNumId w:val="9"/>
  </w:num>
  <w:num w:numId="3" w16cid:durableId="722556042">
    <w:abstractNumId w:val="9"/>
  </w:num>
  <w:num w:numId="4" w16cid:durableId="636842099">
    <w:abstractNumId w:val="6"/>
  </w:num>
  <w:num w:numId="5" w16cid:durableId="1182623130">
    <w:abstractNumId w:val="9"/>
  </w:num>
  <w:num w:numId="6" w16cid:durableId="1517109005">
    <w:abstractNumId w:val="9"/>
  </w:num>
  <w:num w:numId="7" w16cid:durableId="260996481">
    <w:abstractNumId w:val="6"/>
  </w:num>
  <w:num w:numId="8" w16cid:durableId="1368872094">
    <w:abstractNumId w:val="6"/>
  </w:num>
  <w:num w:numId="9" w16cid:durableId="479350729">
    <w:abstractNumId w:val="8"/>
  </w:num>
  <w:num w:numId="10" w16cid:durableId="1727799949">
    <w:abstractNumId w:val="3"/>
  </w:num>
  <w:num w:numId="11" w16cid:durableId="1364865654">
    <w:abstractNumId w:val="3"/>
  </w:num>
  <w:num w:numId="12" w16cid:durableId="2082873674">
    <w:abstractNumId w:val="2"/>
  </w:num>
  <w:num w:numId="13" w16cid:durableId="15009021">
    <w:abstractNumId w:val="2"/>
  </w:num>
  <w:num w:numId="14" w16cid:durableId="1285846019">
    <w:abstractNumId w:val="1"/>
  </w:num>
  <w:num w:numId="15" w16cid:durableId="3212329">
    <w:abstractNumId w:val="1"/>
  </w:num>
  <w:num w:numId="16" w16cid:durableId="1361860467">
    <w:abstractNumId w:val="0"/>
  </w:num>
  <w:num w:numId="17" w16cid:durableId="106509807">
    <w:abstractNumId w:val="0"/>
  </w:num>
  <w:num w:numId="18" w16cid:durableId="84225708">
    <w:abstractNumId w:val="4"/>
  </w:num>
  <w:num w:numId="19" w16cid:durableId="1761873963">
    <w:abstractNumId w:val="4"/>
  </w:num>
  <w:num w:numId="20" w16cid:durableId="1955167697">
    <w:abstractNumId w:val="7"/>
  </w:num>
  <w:num w:numId="21" w16cid:durableId="101727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C9"/>
    <w:rsid w:val="00001EB2"/>
    <w:rsid w:val="00002547"/>
    <w:rsid w:val="000052D9"/>
    <w:rsid w:val="00011C37"/>
    <w:rsid w:val="00016C41"/>
    <w:rsid w:val="000210BE"/>
    <w:rsid w:val="00024A79"/>
    <w:rsid w:val="00026572"/>
    <w:rsid w:val="00032254"/>
    <w:rsid w:val="000335AE"/>
    <w:rsid w:val="00043026"/>
    <w:rsid w:val="00045A7D"/>
    <w:rsid w:val="00046E0C"/>
    <w:rsid w:val="00046F61"/>
    <w:rsid w:val="0006124C"/>
    <w:rsid w:val="0006266A"/>
    <w:rsid w:val="00066392"/>
    <w:rsid w:val="00070C53"/>
    <w:rsid w:val="00071B20"/>
    <w:rsid w:val="00071C86"/>
    <w:rsid w:val="000727B2"/>
    <w:rsid w:val="000728C9"/>
    <w:rsid w:val="00073776"/>
    <w:rsid w:val="000863DB"/>
    <w:rsid w:val="00093534"/>
    <w:rsid w:val="000A4584"/>
    <w:rsid w:val="000B1290"/>
    <w:rsid w:val="000B4EBE"/>
    <w:rsid w:val="000B6776"/>
    <w:rsid w:val="000B6E7F"/>
    <w:rsid w:val="000B746B"/>
    <w:rsid w:val="000C1231"/>
    <w:rsid w:val="000C4663"/>
    <w:rsid w:val="000C64BD"/>
    <w:rsid w:val="000D456A"/>
    <w:rsid w:val="000D4D3D"/>
    <w:rsid w:val="000D7179"/>
    <w:rsid w:val="000F17D3"/>
    <w:rsid w:val="000F3A66"/>
    <w:rsid w:val="000F3BD7"/>
    <w:rsid w:val="000F55BF"/>
    <w:rsid w:val="000F6A60"/>
    <w:rsid w:val="00103528"/>
    <w:rsid w:val="00103F4A"/>
    <w:rsid w:val="00104981"/>
    <w:rsid w:val="00106938"/>
    <w:rsid w:val="00110950"/>
    <w:rsid w:val="00111EC6"/>
    <w:rsid w:val="00112EDA"/>
    <w:rsid w:val="00113E9A"/>
    <w:rsid w:val="001156C9"/>
    <w:rsid w:val="00117F40"/>
    <w:rsid w:val="001304F6"/>
    <w:rsid w:val="00132354"/>
    <w:rsid w:val="00132B68"/>
    <w:rsid w:val="001335D7"/>
    <w:rsid w:val="001447EA"/>
    <w:rsid w:val="00147A8B"/>
    <w:rsid w:val="00150CE3"/>
    <w:rsid w:val="001516FA"/>
    <w:rsid w:val="00155000"/>
    <w:rsid w:val="00155B0D"/>
    <w:rsid w:val="00162981"/>
    <w:rsid w:val="00165B00"/>
    <w:rsid w:val="0017346B"/>
    <w:rsid w:val="00173A9F"/>
    <w:rsid w:val="0018088F"/>
    <w:rsid w:val="00181FD8"/>
    <w:rsid w:val="001836CA"/>
    <w:rsid w:val="0018594C"/>
    <w:rsid w:val="00192315"/>
    <w:rsid w:val="0019312B"/>
    <w:rsid w:val="001932CF"/>
    <w:rsid w:val="001950EB"/>
    <w:rsid w:val="0019596A"/>
    <w:rsid w:val="00195B21"/>
    <w:rsid w:val="001B1340"/>
    <w:rsid w:val="001B5AA4"/>
    <w:rsid w:val="001C62F1"/>
    <w:rsid w:val="001C7D63"/>
    <w:rsid w:val="001D00E2"/>
    <w:rsid w:val="001D3333"/>
    <w:rsid w:val="001D51B8"/>
    <w:rsid w:val="001D70F9"/>
    <w:rsid w:val="001D7FDA"/>
    <w:rsid w:val="001E36FC"/>
    <w:rsid w:val="001E6603"/>
    <w:rsid w:val="001E7672"/>
    <w:rsid w:val="001F0096"/>
    <w:rsid w:val="001F074C"/>
    <w:rsid w:val="001F0C17"/>
    <w:rsid w:val="001F33E1"/>
    <w:rsid w:val="001F380C"/>
    <w:rsid w:val="00201752"/>
    <w:rsid w:val="00204BBB"/>
    <w:rsid w:val="00206FEF"/>
    <w:rsid w:val="002071FA"/>
    <w:rsid w:val="00207356"/>
    <w:rsid w:val="002107F8"/>
    <w:rsid w:val="00211D75"/>
    <w:rsid w:val="0021340F"/>
    <w:rsid w:val="002136FC"/>
    <w:rsid w:val="00214970"/>
    <w:rsid w:val="0021602D"/>
    <w:rsid w:val="0021763F"/>
    <w:rsid w:val="002212EF"/>
    <w:rsid w:val="002229C4"/>
    <w:rsid w:val="00230601"/>
    <w:rsid w:val="002330C6"/>
    <w:rsid w:val="00233A85"/>
    <w:rsid w:val="00233FE8"/>
    <w:rsid w:val="0023582A"/>
    <w:rsid w:val="00236462"/>
    <w:rsid w:val="00240FD3"/>
    <w:rsid w:val="00243B34"/>
    <w:rsid w:val="00256E48"/>
    <w:rsid w:val="0026377B"/>
    <w:rsid w:val="00264E22"/>
    <w:rsid w:val="00266855"/>
    <w:rsid w:val="0026735E"/>
    <w:rsid w:val="00271126"/>
    <w:rsid w:val="00273E71"/>
    <w:rsid w:val="00280386"/>
    <w:rsid w:val="00284058"/>
    <w:rsid w:val="002847D9"/>
    <w:rsid w:val="0029022B"/>
    <w:rsid w:val="002914F0"/>
    <w:rsid w:val="00293093"/>
    <w:rsid w:val="00293D17"/>
    <w:rsid w:val="0029647F"/>
    <w:rsid w:val="002A5DB5"/>
    <w:rsid w:val="002A6BC3"/>
    <w:rsid w:val="002A7181"/>
    <w:rsid w:val="002A7E65"/>
    <w:rsid w:val="002B0D8F"/>
    <w:rsid w:val="002B14D0"/>
    <w:rsid w:val="002B3BD1"/>
    <w:rsid w:val="002C1074"/>
    <w:rsid w:val="002C1D81"/>
    <w:rsid w:val="002D00B9"/>
    <w:rsid w:val="002D073A"/>
    <w:rsid w:val="002D0A3E"/>
    <w:rsid w:val="002D38CB"/>
    <w:rsid w:val="002D59D6"/>
    <w:rsid w:val="002E4785"/>
    <w:rsid w:val="002F0A84"/>
    <w:rsid w:val="002F7CED"/>
    <w:rsid w:val="00312760"/>
    <w:rsid w:val="00321F1A"/>
    <w:rsid w:val="003232DF"/>
    <w:rsid w:val="00325FAB"/>
    <w:rsid w:val="00326A8A"/>
    <w:rsid w:val="00331B57"/>
    <w:rsid w:val="00331FB6"/>
    <w:rsid w:val="00333998"/>
    <w:rsid w:val="00336B8A"/>
    <w:rsid w:val="003431EC"/>
    <w:rsid w:val="00344A48"/>
    <w:rsid w:val="0034529A"/>
    <w:rsid w:val="00356147"/>
    <w:rsid w:val="003562A3"/>
    <w:rsid w:val="0036099D"/>
    <w:rsid w:val="003733E8"/>
    <w:rsid w:val="003738D4"/>
    <w:rsid w:val="0037714B"/>
    <w:rsid w:val="0039260A"/>
    <w:rsid w:val="00393C74"/>
    <w:rsid w:val="003944C1"/>
    <w:rsid w:val="0039474A"/>
    <w:rsid w:val="00394957"/>
    <w:rsid w:val="003A2C5C"/>
    <w:rsid w:val="003A2E20"/>
    <w:rsid w:val="003B3563"/>
    <w:rsid w:val="003C51C6"/>
    <w:rsid w:val="003D1DC2"/>
    <w:rsid w:val="003D285E"/>
    <w:rsid w:val="003D33D2"/>
    <w:rsid w:val="003D6E63"/>
    <w:rsid w:val="003D6EFE"/>
    <w:rsid w:val="003E042D"/>
    <w:rsid w:val="003E1C1D"/>
    <w:rsid w:val="003E3297"/>
    <w:rsid w:val="003E651B"/>
    <w:rsid w:val="0041295C"/>
    <w:rsid w:val="00415B77"/>
    <w:rsid w:val="00415F22"/>
    <w:rsid w:val="00422C79"/>
    <w:rsid w:val="004311A6"/>
    <w:rsid w:val="004315A3"/>
    <w:rsid w:val="0043444F"/>
    <w:rsid w:val="004373CF"/>
    <w:rsid w:val="00442FA8"/>
    <w:rsid w:val="0044330A"/>
    <w:rsid w:val="00443AD7"/>
    <w:rsid w:val="00444504"/>
    <w:rsid w:val="00446063"/>
    <w:rsid w:val="00446C3B"/>
    <w:rsid w:val="00453235"/>
    <w:rsid w:val="00454B04"/>
    <w:rsid w:val="00454B94"/>
    <w:rsid w:val="00462778"/>
    <w:rsid w:val="0046350D"/>
    <w:rsid w:val="00466476"/>
    <w:rsid w:val="004723ED"/>
    <w:rsid w:val="00475588"/>
    <w:rsid w:val="00487CD4"/>
    <w:rsid w:val="004920AB"/>
    <w:rsid w:val="00492E44"/>
    <w:rsid w:val="00493D01"/>
    <w:rsid w:val="00497403"/>
    <w:rsid w:val="004B55E3"/>
    <w:rsid w:val="004B5D5D"/>
    <w:rsid w:val="004B7079"/>
    <w:rsid w:val="004B77FB"/>
    <w:rsid w:val="004C008C"/>
    <w:rsid w:val="004C6C58"/>
    <w:rsid w:val="004D031D"/>
    <w:rsid w:val="004D0A21"/>
    <w:rsid w:val="004D3DD1"/>
    <w:rsid w:val="004E396D"/>
    <w:rsid w:val="004E7144"/>
    <w:rsid w:val="004F0ED1"/>
    <w:rsid w:val="004F3CBA"/>
    <w:rsid w:val="004F512D"/>
    <w:rsid w:val="004F693D"/>
    <w:rsid w:val="004F7DEC"/>
    <w:rsid w:val="0050040B"/>
    <w:rsid w:val="005076A6"/>
    <w:rsid w:val="00513FEF"/>
    <w:rsid w:val="00515512"/>
    <w:rsid w:val="0052193A"/>
    <w:rsid w:val="00525B17"/>
    <w:rsid w:val="0053029F"/>
    <w:rsid w:val="0053578D"/>
    <w:rsid w:val="00535AF8"/>
    <w:rsid w:val="005400E1"/>
    <w:rsid w:val="005438E6"/>
    <w:rsid w:val="00543C42"/>
    <w:rsid w:val="00544B77"/>
    <w:rsid w:val="00544B7E"/>
    <w:rsid w:val="00546E17"/>
    <w:rsid w:val="00551CBB"/>
    <w:rsid w:val="00553B24"/>
    <w:rsid w:val="00554D8B"/>
    <w:rsid w:val="00554EE7"/>
    <w:rsid w:val="005617E5"/>
    <w:rsid w:val="00562E6A"/>
    <w:rsid w:val="0056423C"/>
    <w:rsid w:val="00567690"/>
    <w:rsid w:val="00571AA0"/>
    <w:rsid w:val="00571F1D"/>
    <w:rsid w:val="00575545"/>
    <w:rsid w:val="00580F61"/>
    <w:rsid w:val="005836C3"/>
    <w:rsid w:val="00596136"/>
    <w:rsid w:val="0059649E"/>
    <w:rsid w:val="00597CBB"/>
    <w:rsid w:val="005A2D90"/>
    <w:rsid w:val="005A3E1E"/>
    <w:rsid w:val="005B230B"/>
    <w:rsid w:val="005B2C4F"/>
    <w:rsid w:val="005B352C"/>
    <w:rsid w:val="005B3738"/>
    <w:rsid w:val="005C09FD"/>
    <w:rsid w:val="005C1214"/>
    <w:rsid w:val="005C3CCA"/>
    <w:rsid w:val="005C7AD3"/>
    <w:rsid w:val="005D5B83"/>
    <w:rsid w:val="005D6550"/>
    <w:rsid w:val="005E2B30"/>
    <w:rsid w:val="005E487D"/>
    <w:rsid w:val="00602181"/>
    <w:rsid w:val="00603AC1"/>
    <w:rsid w:val="00605B4C"/>
    <w:rsid w:val="006062A6"/>
    <w:rsid w:val="00610287"/>
    <w:rsid w:val="00620902"/>
    <w:rsid w:val="00624857"/>
    <w:rsid w:val="00627C9F"/>
    <w:rsid w:val="00630E7D"/>
    <w:rsid w:val="0063417F"/>
    <w:rsid w:val="006343DD"/>
    <w:rsid w:val="006371D1"/>
    <w:rsid w:val="00637C76"/>
    <w:rsid w:val="0064063B"/>
    <w:rsid w:val="006433E4"/>
    <w:rsid w:val="00643BF4"/>
    <w:rsid w:val="00644BBD"/>
    <w:rsid w:val="006564AB"/>
    <w:rsid w:val="00663DAE"/>
    <w:rsid w:val="00676ECC"/>
    <w:rsid w:val="00692ABB"/>
    <w:rsid w:val="00697F20"/>
    <w:rsid w:val="006A169F"/>
    <w:rsid w:val="006A312D"/>
    <w:rsid w:val="006A6FF8"/>
    <w:rsid w:val="006B05F1"/>
    <w:rsid w:val="006B3D08"/>
    <w:rsid w:val="006B7B31"/>
    <w:rsid w:val="006C3AAC"/>
    <w:rsid w:val="006D04D8"/>
    <w:rsid w:val="006D7765"/>
    <w:rsid w:val="006E2899"/>
    <w:rsid w:val="006E337C"/>
    <w:rsid w:val="006E3B9E"/>
    <w:rsid w:val="006E6AE6"/>
    <w:rsid w:val="006F0F9E"/>
    <w:rsid w:val="006F1EC0"/>
    <w:rsid w:val="006F3D76"/>
    <w:rsid w:val="006F56D4"/>
    <w:rsid w:val="0070031C"/>
    <w:rsid w:val="00700359"/>
    <w:rsid w:val="0070394F"/>
    <w:rsid w:val="00704CAB"/>
    <w:rsid w:val="00711A19"/>
    <w:rsid w:val="007122A0"/>
    <w:rsid w:val="00713F30"/>
    <w:rsid w:val="00715720"/>
    <w:rsid w:val="0071684F"/>
    <w:rsid w:val="00717B1B"/>
    <w:rsid w:val="00722C7A"/>
    <w:rsid w:val="00723EE9"/>
    <w:rsid w:val="00726DD1"/>
    <w:rsid w:val="0073552D"/>
    <w:rsid w:val="00743A91"/>
    <w:rsid w:val="00757739"/>
    <w:rsid w:val="00763D8F"/>
    <w:rsid w:val="00764E5C"/>
    <w:rsid w:val="00767719"/>
    <w:rsid w:val="007711D3"/>
    <w:rsid w:val="00771E35"/>
    <w:rsid w:val="007903F5"/>
    <w:rsid w:val="00790F79"/>
    <w:rsid w:val="00792466"/>
    <w:rsid w:val="007954E1"/>
    <w:rsid w:val="007A0190"/>
    <w:rsid w:val="007A32DD"/>
    <w:rsid w:val="007B0013"/>
    <w:rsid w:val="007B0632"/>
    <w:rsid w:val="007B096A"/>
    <w:rsid w:val="007B5E32"/>
    <w:rsid w:val="007B68BC"/>
    <w:rsid w:val="007C4E06"/>
    <w:rsid w:val="007C6428"/>
    <w:rsid w:val="007D165B"/>
    <w:rsid w:val="007D1A53"/>
    <w:rsid w:val="007D5373"/>
    <w:rsid w:val="007E1C7D"/>
    <w:rsid w:val="007E26CF"/>
    <w:rsid w:val="007F0244"/>
    <w:rsid w:val="008052E8"/>
    <w:rsid w:val="00805BFD"/>
    <w:rsid w:val="00807681"/>
    <w:rsid w:val="00822E2F"/>
    <w:rsid w:val="008249A4"/>
    <w:rsid w:val="0083036C"/>
    <w:rsid w:val="00833D13"/>
    <w:rsid w:val="00840DBB"/>
    <w:rsid w:val="0084537B"/>
    <w:rsid w:val="00845897"/>
    <w:rsid w:val="00852363"/>
    <w:rsid w:val="00855C6E"/>
    <w:rsid w:val="00877768"/>
    <w:rsid w:val="00877A44"/>
    <w:rsid w:val="00881F04"/>
    <w:rsid w:val="00884FDB"/>
    <w:rsid w:val="00887BD0"/>
    <w:rsid w:val="0089028B"/>
    <w:rsid w:val="008918D2"/>
    <w:rsid w:val="00897DD1"/>
    <w:rsid w:val="008A0787"/>
    <w:rsid w:val="008A1F14"/>
    <w:rsid w:val="008B3F97"/>
    <w:rsid w:val="008B5EB7"/>
    <w:rsid w:val="008C35AF"/>
    <w:rsid w:val="008C4488"/>
    <w:rsid w:val="008C4916"/>
    <w:rsid w:val="008E01DC"/>
    <w:rsid w:val="008E0A1A"/>
    <w:rsid w:val="008E1A28"/>
    <w:rsid w:val="008F1788"/>
    <w:rsid w:val="008F3B42"/>
    <w:rsid w:val="008F554E"/>
    <w:rsid w:val="008F74D0"/>
    <w:rsid w:val="008F77AE"/>
    <w:rsid w:val="009004C5"/>
    <w:rsid w:val="0091311B"/>
    <w:rsid w:val="00914955"/>
    <w:rsid w:val="0091525E"/>
    <w:rsid w:val="00915BA0"/>
    <w:rsid w:val="009167A5"/>
    <w:rsid w:val="009216A3"/>
    <w:rsid w:val="00922002"/>
    <w:rsid w:val="00923669"/>
    <w:rsid w:val="0092487C"/>
    <w:rsid w:val="00932FC9"/>
    <w:rsid w:val="009359CE"/>
    <w:rsid w:val="00935B24"/>
    <w:rsid w:val="00941076"/>
    <w:rsid w:val="00941518"/>
    <w:rsid w:val="00944D98"/>
    <w:rsid w:val="00945DFF"/>
    <w:rsid w:val="00946369"/>
    <w:rsid w:val="00946454"/>
    <w:rsid w:val="00950176"/>
    <w:rsid w:val="00952B7A"/>
    <w:rsid w:val="00955727"/>
    <w:rsid w:val="00956252"/>
    <w:rsid w:val="009567A4"/>
    <w:rsid w:val="0096145A"/>
    <w:rsid w:val="0096600B"/>
    <w:rsid w:val="009725F4"/>
    <w:rsid w:val="009836D8"/>
    <w:rsid w:val="00984C42"/>
    <w:rsid w:val="00986EF5"/>
    <w:rsid w:val="00990588"/>
    <w:rsid w:val="00990B9F"/>
    <w:rsid w:val="00990F16"/>
    <w:rsid w:val="0099144B"/>
    <w:rsid w:val="00995D42"/>
    <w:rsid w:val="009A05AD"/>
    <w:rsid w:val="009A432D"/>
    <w:rsid w:val="009A4FF8"/>
    <w:rsid w:val="009A5CAD"/>
    <w:rsid w:val="009A7720"/>
    <w:rsid w:val="009B0CAB"/>
    <w:rsid w:val="009B34AD"/>
    <w:rsid w:val="009C230F"/>
    <w:rsid w:val="009C2342"/>
    <w:rsid w:val="009C2AC3"/>
    <w:rsid w:val="009C3938"/>
    <w:rsid w:val="009C3E5D"/>
    <w:rsid w:val="009C4032"/>
    <w:rsid w:val="009C616C"/>
    <w:rsid w:val="009D0496"/>
    <w:rsid w:val="009D1D48"/>
    <w:rsid w:val="009D2FD5"/>
    <w:rsid w:val="009D78EF"/>
    <w:rsid w:val="009E3B89"/>
    <w:rsid w:val="009E672F"/>
    <w:rsid w:val="009F3588"/>
    <w:rsid w:val="009F35A3"/>
    <w:rsid w:val="009F3C86"/>
    <w:rsid w:val="009F6780"/>
    <w:rsid w:val="00A0166B"/>
    <w:rsid w:val="00A029EE"/>
    <w:rsid w:val="00A1558E"/>
    <w:rsid w:val="00A16284"/>
    <w:rsid w:val="00A21C27"/>
    <w:rsid w:val="00A228D2"/>
    <w:rsid w:val="00A2680C"/>
    <w:rsid w:val="00A33413"/>
    <w:rsid w:val="00A35B54"/>
    <w:rsid w:val="00A404D9"/>
    <w:rsid w:val="00A44028"/>
    <w:rsid w:val="00A45A0A"/>
    <w:rsid w:val="00A4644A"/>
    <w:rsid w:val="00A554FC"/>
    <w:rsid w:val="00A6011A"/>
    <w:rsid w:val="00A60334"/>
    <w:rsid w:val="00A67E3B"/>
    <w:rsid w:val="00A74AD1"/>
    <w:rsid w:val="00A7551B"/>
    <w:rsid w:val="00A76676"/>
    <w:rsid w:val="00A77CEA"/>
    <w:rsid w:val="00A818B5"/>
    <w:rsid w:val="00A84380"/>
    <w:rsid w:val="00A84FD3"/>
    <w:rsid w:val="00A87CA0"/>
    <w:rsid w:val="00A96E4D"/>
    <w:rsid w:val="00AA240A"/>
    <w:rsid w:val="00AA379A"/>
    <w:rsid w:val="00AA4939"/>
    <w:rsid w:val="00AB33B8"/>
    <w:rsid w:val="00AB4400"/>
    <w:rsid w:val="00AC0764"/>
    <w:rsid w:val="00AC3A83"/>
    <w:rsid w:val="00AC6BA7"/>
    <w:rsid w:val="00AD0721"/>
    <w:rsid w:val="00AD1FE1"/>
    <w:rsid w:val="00AD3BC5"/>
    <w:rsid w:val="00AE13CA"/>
    <w:rsid w:val="00AE1CE6"/>
    <w:rsid w:val="00AE6970"/>
    <w:rsid w:val="00AF05AC"/>
    <w:rsid w:val="00AF1B62"/>
    <w:rsid w:val="00B04D2B"/>
    <w:rsid w:val="00B04EF2"/>
    <w:rsid w:val="00B0562F"/>
    <w:rsid w:val="00B06353"/>
    <w:rsid w:val="00B06FBC"/>
    <w:rsid w:val="00B109EA"/>
    <w:rsid w:val="00B17082"/>
    <w:rsid w:val="00B30F34"/>
    <w:rsid w:val="00B32017"/>
    <w:rsid w:val="00B4118D"/>
    <w:rsid w:val="00B41D2C"/>
    <w:rsid w:val="00B46A76"/>
    <w:rsid w:val="00B508A5"/>
    <w:rsid w:val="00B51243"/>
    <w:rsid w:val="00B61EE1"/>
    <w:rsid w:val="00B71741"/>
    <w:rsid w:val="00B75755"/>
    <w:rsid w:val="00B75C5A"/>
    <w:rsid w:val="00B8035B"/>
    <w:rsid w:val="00B917B7"/>
    <w:rsid w:val="00B939E8"/>
    <w:rsid w:val="00B97125"/>
    <w:rsid w:val="00B9797E"/>
    <w:rsid w:val="00BA1C46"/>
    <w:rsid w:val="00BA23D1"/>
    <w:rsid w:val="00BA3A32"/>
    <w:rsid w:val="00BA4B86"/>
    <w:rsid w:val="00BA4E1C"/>
    <w:rsid w:val="00BB0096"/>
    <w:rsid w:val="00BB6082"/>
    <w:rsid w:val="00BB6CCE"/>
    <w:rsid w:val="00BC04B4"/>
    <w:rsid w:val="00BC0C0D"/>
    <w:rsid w:val="00BC0FD2"/>
    <w:rsid w:val="00BC6160"/>
    <w:rsid w:val="00BC6797"/>
    <w:rsid w:val="00BD30B2"/>
    <w:rsid w:val="00BD4292"/>
    <w:rsid w:val="00BD4AE6"/>
    <w:rsid w:val="00BE24E5"/>
    <w:rsid w:val="00BE26E5"/>
    <w:rsid w:val="00BF0C33"/>
    <w:rsid w:val="00C00BFA"/>
    <w:rsid w:val="00C03EA4"/>
    <w:rsid w:val="00C1144D"/>
    <w:rsid w:val="00C11C45"/>
    <w:rsid w:val="00C11F0C"/>
    <w:rsid w:val="00C122B3"/>
    <w:rsid w:val="00C14F87"/>
    <w:rsid w:val="00C17BB8"/>
    <w:rsid w:val="00C22872"/>
    <w:rsid w:val="00C23873"/>
    <w:rsid w:val="00C24D00"/>
    <w:rsid w:val="00C324BE"/>
    <w:rsid w:val="00C32B0F"/>
    <w:rsid w:val="00C32C78"/>
    <w:rsid w:val="00C4085F"/>
    <w:rsid w:val="00C41198"/>
    <w:rsid w:val="00C4233A"/>
    <w:rsid w:val="00C443FD"/>
    <w:rsid w:val="00C463EA"/>
    <w:rsid w:val="00C47F0D"/>
    <w:rsid w:val="00C524D9"/>
    <w:rsid w:val="00C63C72"/>
    <w:rsid w:val="00C65000"/>
    <w:rsid w:val="00C6583A"/>
    <w:rsid w:val="00C747A1"/>
    <w:rsid w:val="00C77BBE"/>
    <w:rsid w:val="00C86B88"/>
    <w:rsid w:val="00C95571"/>
    <w:rsid w:val="00C959FB"/>
    <w:rsid w:val="00C95FA5"/>
    <w:rsid w:val="00C9713F"/>
    <w:rsid w:val="00CA157B"/>
    <w:rsid w:val="00CA40DF"/>
    <w:rsid w:val="00CA6876"/>
    <w:rsid w:val="00CA71BD"/>
    <w:rsid w:val="00CB0956"/>
    <w:rsid w:val="00CB1319"/>
    <w:rsid w:val="00CB4E57"/>
    <w:rsid w:val="00CB5D2F"/>
    <w:rsid w:val="00CC55FC"/>
    <w:rsid w:val="00CC586B"/>
    <w:rsid w:val="00CD63E2"/>
    <w:rsid w:val="00CE5CE2"/>
    <w:rsid w:val="00CE60FB"/>
    <w:rsid w:val="00CF05FE"/>
    <w:rsid w:val="00CF084C"/>
    <w:rsid w:val="00CF23B8"/>
    <w:rsid w:val="00CF253B"/>
    <w:rsid w:val="00D0026A"/>
    <w:rsid w:val="00D00460"/>
    <w:rsid w:val="00D01C3B"/>
    <w:rsid w:val="00D0201E"/>
    <w:rsid w:val="00D0214D"/>
    <w:rsid w:val="00D13FF5"/>
    <w:rsid w:val="00D14FF9"/>
    <w:rsid w:val="00D2111A"/>
    <w:rsid w:val="00D234EB"/>
    <w:rsid w:val="00D30AD8"/>
    <w:rsid w:val="00D31068"/>
    <w:rsid w:val="00D34F2F"/>
    <w:rsid w:val="00D35DC8"/>
    <w:rsid w:val="00D37C84"/>
    <w:rsid w:val="00D41ABA"/>
    <w:rsid w:val="00D43A92"/>
    <w:rsid w:val="00D47213"/>
    <w:rsid w:val="00D5005B"/>
    <w:rsid w:val="00D50A3E"/>
    <w:rsid w:val="00D53513"/>
    <w:rsid w:val="00D60396"/>
    <w:rsid w:val="00D617C9"/>
    <w:rsid w:val="00D72C9B"/>
    <w:rsid w:val="00D74111"/>
    <w:rsid w:val="00D75219"/>
    <w:rsid w:val="00D8082C"/>
    <w:rsid w:val="00D86B92"/>
    <w:rsid w:val="00D87C25"/>
    <w:rsid w:val="00D90E55"/>
    <w:rsid w:val="00D92FC1"/>
    <w:rsid w:val="00D93232"/>
    <w:rsid w:val="00D95206"/>
    <w:rsid w:val="00DB356D"/>
    <w:rsid w:val="00DB3E7C"/>
    <w:rsid w:val="00DC2A21"/>
    <w:rsid w:val="00DC2A83"/>
    <w:rsid w:val="00DC2E6D"/>
    <w:rsid w:val="00DC7995"/>
    <w:rsid w:val="00DD08CD"/>
    <w:rsid w:val="00DD56A6"/>
    <w:rsid w:val="00DD57B7"/>
    <w:rsid w:val="00DE0808"/>
    <w:rsid w:val="00DE1AC5"/>
    <w:rsid w:val="00DE5B88"/>
    <w:rsid w:val="00DF7F77"/>
    <w:rsid w:val="00E1705A"/>
    <w:rsid w:val="00E217CB"/>
    <w:rsid w:val="00E25DCB"/>
    <w:rsid w:val="00E3109F"/>
    <w:rsid w:val="00E3283A"/>
    <w:rsid w:val="00E340C4"/>
    <w:rsid w:val="00E3508C"/>
    <w:rsid w:val="00E4303B"/>
    <w:rsid w:val="00E437D6"/>
    <w:rsid w:val="00E56B35"/>
    <w:rsid w:val="00E6366F"/>
    <w:rsid w:val="00E64E53"/>
    <w:rsid w:val="00E67012"/>
    <w:rsid w:val="00E67684"/>
    <w:rsid w:val="00E67DA8"/>
    <w:rsid w:val="00E70AA3"/>
    <w:rsid w:val="00E720F9"/>
    <w:rsid w:val="00E80F95"/>
    <w:rsid w:val="00E91E26"/>
    <w:rsid w:val="00E92749"/>
    <w:rsid w:val="00E9281A"/>
    <w:rsid w:val="00E92C88"/>
    <w:rsid w:val="00E96A02"/>
    <w:rsid w:val="00E97B3E"/>
    <w:rsid w:val="00EA3888"/>
    <w:rsid w:val="00EA4ACB"/>
    <w:rsid w:val="00EA6EF8"/>
    <w:rsid w:val="00EB023E"/>
    <w:rsid w:val="00EB0CBB"/>
    <w:rsid w:val="00EB44CA"/>
    <w:rsid w:val="00EB5981"/>
    <w:rsid w:val="00EB6943"/>
    <w:rsid w:val="00EB6CEB"/>
    <w:rsid w:val="00EB6DC0"/>
    <w:rsid w:val="00EC141A"/>
    <w:rsid w:val="00EC1586"/>
    <w:rsid w:val="00EC30E4"/>
    <w:rsid w:val="00ED0B46"/>
    <w:rsid w:val="00ED287F"/>
    <w:rsid w:val="00ED3C64"/>
    <w:rsid w:val="00ED3CC8"/>
    <w:rsid w:val="00EE0DF3"/>
    <w:rsid w:val="00EE70A3"/>
    <w:rsid w:val="00EF0004"/>
    <w:rsid w:val="00EF657D"/>
    <w:rsid w:val="00EF79C2"/>
    <w:rsid w:val="00F01513"/>
    <w:rsid w:val="00F15737"/>
    <w:rsid w:val="00F17CB1"/>
    <w:rsid w:val="00F17D98"/>
    <w:rsid w:val="00F3057D"/>
    <w:rsid w:val="00F3159E"/>
    <w:rsid w:val="00F31983"/>
    <w:rsid w:val="00F3494A"/>
    <w:rsid w:val="00F37135"/>
    <w:rsid w:val="00F413AA"/>
    <w:rsid w:val="00F413C9"/>
    <w:rsid w:val="00F4406D"/>
    <w:rsid w:val="00F47E46"/>
    <w:rsid w:val="00F55FF6"/>
    <w:rsid w:val="00F57F7A"/>
    <w:rsid w:val="00F6163B"/>
    <w:rsid w:val="00F633E8"/>
    <w:rsid w:val="00F6340B"/>
    <w:rsid w:val="00F709FA"/>
    <w:rsid w:val="00F76BE9"/>
    <w:rsid w:val="00F801EB"/>
    <w:rsid w:val="00F829CE"/>
    <w:rsid w:val="00F82D0A"/>
    <w:rsid w:val="00F83309"/>
    <w:rsid w:val="00F86CB7"/>
    <w:rsid w:val="00F86F76"/>
    <w:rsid w:val="00F94A68"/>
    <w:rsid w:val="00F97B0B"/>
    <w:rsid w:val="00FA0FE4"/>
    <w:rsid w:val="00FA1684"/>
    <w:rsid w:val="00FA2687"/>
    <w:rsid w:val="00FB3744"/>
    <w:rsid w:val="00FB610E"/>
    <w:rsid w:val="00FB6F0A"/>
    <w:rsid w:val="00FB796B"/>
    <w:rsid w:val="00FC1DED"/>
    <w:rsid w:val="00FC20AF"/>
    <w:rsid w:val="00FC56CC"/>
    <w:rsid w:val="00FC57D2"/>
    <w:rsid w:val="00FC60DF"/>
    <w:rsid w:val="00FD1496"/>
    <w:rsid w:val="00FE258B"/>
    <w:rsid w:val="00FE2940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E008F"/>
  <w15:docId w15:val="{4DDEF320-9174-4BAB-9DFA-7843DAC2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3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99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8"/>
    <w:lsdException w:name="List 2" w:semiHidden="1" w:unhideWhenUsed="1"/>
    <w:lsdException w:name="List 3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C41"/>
    <w:pPr>
      <w:spacing w:after="180" w:line="260" w:lineRule="atLeast"/>
    </w:pPr>
    <w:rPr>
      <w:rFonts w:ascii="Arial" w:eastAsiaTheme="minorHAnsi" w:hAnsi="Arial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04EF2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4EF2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B04EF2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Heading4">
    <w:name w:val="heading 4"/>
    <w:basedOn w:val="Normal"/>
    <w:next w:val="Normal"/>
    <w:link w:val="Heading4Char"/>
    <w:uiPriority w:val="3"/>
    <w:qFormat/>
    <w:rsid w:val="00B04EF2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3"/>
    <w:unhideWhenUsed/>
    <w:qFormat/>
    <w:rsid w:val="00B04EF2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B04EF2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B04EF2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B04EF2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B04EF2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4E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unhideWhenUsed/>
    <w:rsid w:val="00B04EF2"/>
  </w:style>
  <w:style w:type="paragraph" w:styleId="Footer">
    <w:name w:val="footer"/>
    <w:basedOn w:val="Normal"/>
    <w:link w:val="FooterChar"/>
    <w:uiPriority w:val="8"/>
    <w:rsid w:val="00B04EF2"/>
    <w:pPr>
      <w:tabs>
        <w:tab w:val="center" w:pos="4320"/>
        <w:tab w:val="right" w:pos="8640"/>
      </w:tabs>
    </w:pPr>
  </w:style>
  <w:style w:type="paragraph" w:customStyle="1" w:styleId="webdate">
    <w:name w:val="_webdat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Normal1">
    <w:name w:val="Normal1"/>
    <w:basedOn w:val="Normal"/>
    <w:rsid w:val="008C35AF"/>
    <w:rPr>
      <w:sz w:val="24"/>
    </w:rPr>
  </w:style>
  <w:style w:type="paragraph" w:customStyle="1" w:styleId="Normal2">
    <w:name w:val="Normal2"/>
    <w:basedOn w:val="Normal"/>
    <w:rsid w:val="008C35AF"/>
    <w:rPr>
      <w:sz w:val="24"/>
    </w:rPr>
  </w:style>
  <w:style w:type="paragraph" w:customStyle="1" w:styleId="Normal3">
    <w:name w:val="Normal3"/>
    <w:basedOn w:val="Normal"/>
    <w:rsid w:val="008C35AF"/>
    <w:rPr>
      <w:sz w:val="24"/>
    </w:rPr>
  </w:style>
  <w:style w:type="paragraph" w:customStyle="1" w:styleId="Normal4">
    <w:name w:val="Normal4"/>
    <w:basedOn w:val="Normal"/>
    <w:rsid w:val="008C35AF"/>
    <w:rPr>
      <w:sz w:val="24"/>
    </w:rPr>
  </w:style>
  <w:style w:type="paragraph" w:styleId="ListBullet">
    <w:name w:val="List Bullet"/>
    <w:basedOn w:val="Normal"/>
    <w:qFormat/>
    <w:rsid w:val="00B04EF2"/>
    <w:pPr>
      <w:numPr>
        <w:numId w:val="9"/>
      </w:numPr>
    </w:pPr>
  </w:style>
  <w:style w:type="paragraph" w:customStyle="1" w:styleId="webexclude">
    <w:name w:val="_webexclude"/>
    <w:basedOn w:val="Normal"/>
    <w:rsid w:val="00915BA0"/>
    <w:pPr>
      <w:tabs>
        <w:tab w:val="left" w:pos="-1440"/>
      </w:tabs>
      <w:spacing w:after="480"/>
      <w:jc w:val="center"/>
      <w:outlineLvl w:val="0"/>
    </w:pPr>
    <w:rPr>
      <w:b/>
      <w:snapToGrid w:val="0"/>
      <w:color w:val="009CDE" w:themeColor="accent1"/>
    </w:rPr>
  </w:style>
  <w:style w:type="paragraph" w:customStyle="1" w:styleId="webnumber">
    <w:name w:val="_webnumber"/>
    <w:basedOn w:val="Header"/>
    <w:rsid w:val="00264E22"/>
    <w:pPr>
      <w:tabs>
        <w:tab w:val="clear" w:pos="4320"/>
        <w:tab w:val="clear" w:pos="8640"/>
      </w:tabs>
      <w:spacing w:after="240" w:line="240" w:lineRule="auto"/>
      <w:ind w:left="-1714" w:right="-1195"/>
      <w:jc w:val="right"/>
    </w:pPr>
    <w:rPr>
      <w:color w:val="004C97" w:themeColor="text2"/>
      <w:sz w:val="24"/>
    </w:rPr>
  </w:style>
  <w:style w:type="paragraph" w:customStyle="1" w:styleId="webTextBox">
    <w:name w:val="_webTextBox"/>
    <w:basedOn w:val="Normal"/>
    <w:rsid w:val="008C35AF"/>
    <w:pPr>
      <w:framePr w:w="3744" w:wrap="around" w:vAnchor="page" w:hAnchor="page" w:x="6337" w:y="4220"/>
      <w:tabs>
        <w:tab w:val="left" w:pos="-1440"/>
      </w:tabs>
      <w:jc w:val="right"/>
    </w:pPr>
    <w:rPr>
      <w:sz w:val="24"/>
    </w:rPr>
  </w:style>
  <w:style w:type="paragraph" w:customStyle="1" w:styleId="webtitle">
    <w:name w:val="_webtitle"/>
    <w:basedOn w:val="Normal"/>
    <w:rsid w:val="00C95FA5"/>
    <w:pPr>
      <w:jc w:val="center"/>
    </w:pPr>
    <w:rPr>
      <w:b/>
      <w:bCs/>
      <w:color w:val="004C97" w:themeColor="text2"/>
      <w:sz w:val="28"/>
      <w:szCs w:val="28"/>
    </w:rPr>
  </w:style>
  <w:style w:type="paragraph" w:customStyle="1" w:styleId="ParagraphNumbering">
    <w:name w:val="Paragraph Numbering"/>
    <w:basedOn w:val="Normal"/>
    <w:qFormat/>
    <w:rsid w:val="00B04EF2"/>
    <w:pPr>
      <w:numPr>
        <w:numId w:val="21"/>
      </w:numPr>
    </w:pPr>
  </w:style>
  <w:style w:type="paragraph" w:styleId="BalloonText">
    <w:name w:val="Balloon Text"/>
    <w:basedOn w:val="Normal"/>
    <w:link w:val="BalloonTextChar"/>
    <w:rsid w:val="0082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9A4"/>
    <w:rPr>
      <w:rFonts w:ascii="Tahoma" w:hAnsi="Tahoma" w:cs="Tahoma"/>
      <w:sz w:val="16"/>
      <w:szCs w:val="16"/>
    </w:rPr>
  </w:style>
  <w:style w:type="paragraph" w:customStyle="1" w:styleId="Appendix">
    <w:name w:val="Appendix"/>
    <w:basedOn w:val="Normal"/>
    <w:uiPriority w:val="8"/>
    <w:qFormat/>
    <w:rsid w:val="00B04EF2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B04E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B04EF2"/>
    <w:rPr>
      <w:rFonts w:ascii="Arial" w:eastAsiaTheme="minorHAnsi" w:hAnsi="Arial"/>
      <w:szCs w:val="24"/>
    </w:rPr>
  </w:style>
  <w:style w:type="character" w:customStyle="1" w:styleId="FooterChar">
    <w:name w:val="Footer Char"/>
    <w:basedOn w:val="DefaultParagraphFont"/>
    <w:link w:val="Footer"/>
    <w:uiPriority w:val="8"/>
    <w:rsid w:val="00B04EF2"/>
    <w:rPr>
      <w:rFonts w:ascii="Arial" w:eastAsiaTheme="minorHAnsi" w:hAnsi="Arial"/>
      <w:szCs w:val="24"/>
    </w:rPr>
  </w:style>
  <w:style w:type="character" w:styleId="FootnoteReference">
    <w:name w:val="footnote reference"/>
    <w:basedOn w:val="DefaultParagraphFont"/>
    <w:uiPriority w:val="8"/>
    <w:rsid w:val="00016C41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264E22"/>
    <w:pPr>
      <w:spacing w:after="90"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264E22"/>
    <w:rPr>
      <w:rFonts w:ascii="Arial" w:eastAsiaTheme="minorHAnsi" w:hAnsi="Arial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B04EF2"/>
    <w:rPr>
      <w:rFonts w:ascii="Arial" w:eastAsiaTheme="minorHAnsi" w:hAnsi="Arial"/>
      <w:szCs w:val="24"/>
    </w:rPr>
  </w:style>
  <w:style w:type="character" w:customStyle="1" w:styleId="Heading1Char">
    <w:name w:val="Heading 1 Char"/>
    <w:link w:val="Heading1"/>
    <w:uiPriority w:val="1"/>
    <w:rsid w:val="00B04EF2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Heading2Char">
    <w:name w:val="Heading 2 Char"/>
    <w:link w:val="Heading2"/>
    <w:uiPriority w:val="1"/>
    <w:rsid w:val="00B04EF2"/>
    <w:rPr>
      <w:rFonts w:ascii="Arial" w:eastAsia="Century Gothic" w:hAnsi="Arial" w:cs="Arial (Body)"/>
      <w:b/>
      <w:caps/>
      <w:color w:val="009CDE"/>
    </w:rPr>
  </w:style>
  <w:style w:type="character" w:customStyle="1" w:styleId="Heading3Char">
    <w:name w:val="Heading 3 Char"/>
    <w:basedOn w:val="DefaultParagraphFont"/>
    <w:link w:val="Heading3"/>
    <w:uiPriority w:val="3"/>
    <w:rsid w:val="007711D3"/>
    <w:rPr>
      <w:rFonts w:ascii="Arial" w:eastAsiaTheme="majorEastAsia" w:hAnsi="Arial" w:cstheme="majorBidi"/>
      <w:caps/>
      <w:color w:val="707372"/>
    </w:rPr>
  </w:style>
  <w:style w:type="character" w:customStyle="1" w:styleId="Heading4Char">
    <w:name w:val="Heading 4 Char"/>
    <w:basedOn w:val="DefaultParagraphFont"/>
    <w:link w:val="Heading4"/>
    <w:uiPriority w:val="3"/>
    <w:rsid w:val="007711D3"/>
    <w:rPr>
      <w:rFonts w:ascii="Arial" w:eastAsiaTheme="minorHAnsi" w:hAnsi="Arial"/>
      <w:b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13"/>
    <w:rsid w:val="00B04EF2"/>
    <w:rPr>
      <w:rFonts w:ascii="Arial" w:eastAsiaTheme="minorHAnsi" w:hAnsi="Arial"/>
      <w:bCs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B04EF2"/>
    <w:rPr>
      <w:rFonts w:ascii="Arial" w:eastAsiaTheme="minorHAnsi" w:hAnsi="Arial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8"/>
    <w:rsid w:val="00B04EF2"/>
    <w:rPr>
      <w:rFonts w:ascii="Arial" w:eastAsiaTheme="minorHAnsi" w:hAnsi="Arial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B04EF2"/>
    <w:rPr>
      <w:rFonts w:ascii="Arial" w:eastAsiaTheme="minorHAnsi" w:hAnsi="Arial"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B04EF2"/>
    <w:rPr>
      <w:rFonts w:ascii="Arial" w:eastAsiaTheme="minorHAnsi" w:hAnsi="Arial" w:cs="Arial"/>
      <w:szCs w:val="22"/>
    </w:rPr>
  </w:style>
  <w:style w:type="paragraph" w:customStyle="1" w:styleId="Indent">
    <w:name w:val="Indent"/>
    <w:basedOn w:val="Normal"/>
    <w:uiPriority w:val="8"/>
    <w:qFormat/>
    <w:rsid w:val="00B04EF2"/>
    <w:pPr>
      <w:ind w:left="720" w:hanging="720"/>
    </w:pPr>
  </w:style>
  <w:style w:type="paragraph" w:styleId="Index1">
    <w:name w:val="index 1"/>
    <w:basedOn w:val="Normal"/>
    <w:next w:val="Normal"/>
    <w:uiPriority w:val="8"/>
    <w:rsid w:val="00B04EF2"/>
    <w:pPr>
      <w:ind w:left="240" w:hanging="240"/>
    </w:pPr>
  </w:style>
  <w:style w:type="paragraph" w:styleId="Index2">
    <w:name w:val="index 2"/>
    <w:basedOn w:val="Normal"/>
    <w:next w:val="Normal"/>
    <w:uiPriority w:val="8"/>
    <w:rsid w:val="00B04EF2"/>
    <w:pPr>
      <w:ind w:left="480" w:hanging="240"/>
    </w:pPr>
  </w:style>
  <w:style w:type="paragraph" w:styleId="Index3">
    <w:name w:val="index 3"/>
    <w:basedOn w:val="Normal"/>
    <w:next w:val="Normal"/>
    <w:uiPriority w:val="8"/>
    <w:rsid w:val="00B04EF2"/>
    <w:pPr>
      <w:ind w:left="720" w:hanging="240"/>
    </w:pPr>
  </w:style>
  <w:style w:type="paragraph" w:styleId="Index4">
    <w:name w:val="index 4"/>
    <w:basedOn w:val="Normal"/>
    <w:next w:val="Normal"/>
    <w:uiPriority w:val="8"/>
    <w:rsid w:val="00B04EF2"/>
    <w:pPr>
      <w:ind w:left="960" w:hanging="240"/>
    </w:pPr>
  </w:style>
  <w:style w:type="paragraph" w:styleId="Index5">
    <w:name w:val="index 5"/>
    <w:basedOn w:val="Normal"/>
    <w:next w:val="Normal"/>
    <w:uiPriority w:val="8"/>
    <w:rsid w:val="00B04EF2"/>
    <w:pPr>
      <w:ind w:left="1200" w:hanging="240"/>
    </w:pPr>
  </w:style>
  <w:style w:type="paragraph" w:styleId="Index6">
    <w:name w:val="index 6"/>
    <w:basedOn w:val="Normal"/>
    <w:next w:val="Normal"/>
    <w:uiPriority w:val="8"/>
    <w:rsid w:val="00B04EF2"/>
    <w:pPr>
      <w:ind w:left="1440" w:hanging="240"/>
    </w:pPr>
  </w:style>
  <w:style w:type="paragraph" w:styleId="Index7">
    <w:name w:val="index 7"/>
    <w:basedOn w:val="Normal"/>
    <w:next w:val="Normal"/>
    <w:uiPriority w:val="8"/>
    <w:rsid w:val="00B04EF2"/>
    <w:pPr>
      <w:ind w:left="1680" w:hanging="240"/>
    </w:pPr>
  </w:style>
  <w:style w:type="paragraph" w:styleId="Index8">
    <w:name w:val="index 8"/>
    <w:basedOn w:val="Normal"/>
    <w:next w:val="Normal"/>
    <w:uiPriority w:val="8"/>
    <w:rsid w:val="00B04EF2"/>
    <w:pPr>
      <w:ind w:left="1920" w:hanging="240"/>
    </w:pPr>
  </w:style>
  <w:style w:type="paragraph" w:styleId="Index9">
    <w:name w:val="index 9"/>
    <w:basedOn w:val="Normal"/>
    <w:next w:val="Normal"/>
    <w:uiPriority w:val="8"/>
    <w:rsid w:val="00B04EF2"/>
    <w:pPr>
      <w:ind w:left="2160" w:hanging="240"/>
    </w:pPr>
  </w:style>
  <w:style w:type="paragraph" w:styleId="ListBullet2">
    <w:name w:val="List Bullet 2"/>
    <w:basedOn w:val="Normal"/>
    <w:uiPriority w:val="8"/>
    <w:rsid w:val="00B04EF2"/>
    <w:pPr>
      <w:numPr>
        <w:numId w:val="11"/>
      </w:numPr>
    </w:pPr>
  </w:style>
  <w:style w:type="paragraph" w:styleId="ListBullet3">
    <w:name w:val="List Bullet 3"/>
    <w:basedOn w:val="Normal"/>
    <w:uiPriority w:val="8"/>
    <w:rsid w:val="00B04EF2"/>
    <w:pPr>
      <w:numPr>
        <w:numId w:val="13"/>
      </w:numPr>
    </w:pPr>
  </w:style>
  <w:style w:type="paragraph" w:styleId="ListBullet4">
    <w:name w:val="List Bullet 4"/>
    <w:basedOn w:val="Normal"/>
    <w:uiPriority w:val="8"/>
    <w:rsid w:val="00B04EF2"/>
    <w:pPr>
      <w:numPr>
        <w:numId w:val="15"/>
      </w:numPr>
    </w:pPr>
  </w:style>
  <w:style w:type="paragraph" w:styleId="ListBullet5">
    <w:name w:val="List Bullet 5"/>
    <w:basedOn w:val="Normal"/>
    <w:uiPriority w:val="8"/>
    <w:rsid w:val="00B04EF2"/>
    <w:pPr>
      <w:numPr>
        <w:numId w:val="17"/>
      </w:numPr>
    </w:pPr>
  </w:style>
  <w:style w:type="paragraph" w:styleId="ListNumber">
    <w:name w:val="List Number"/>
    <w:basedOn w:val="Normal"/>
    <w:uiPriority w:val="8"/>
    <w:rsid w:val="00B04EF2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"/>
    <w:qFormat/>
    <w:rsid w:val="00B04EF2"/>
    <w:pPr>
      <w:numPr>
        <w:numId w:val="20"/>
      </w:numPr>
      <w:snapToGrid w:val="0"/>
      <w:contextualSpacing/>
    </w:pPr>
    <w:rPr>
      <w:rFonts w:eastAsia="Century Gothic" w:cs="Arial"/>
      <w:color w:val="000000" w:themeColor="text1"/>
      <w:szCs w:val="22"/>
    </w:rPr>
  </w:style>
  <w:style w:type="paragraph" w:customStyle="1" w:styleId="Objective">
    <w:name w:val="Objective"/>
    <w:basedOn w:val="Normal"/>
    <w:rsid w:val="00B04EF2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  <w:szCs w:val="22"/>
    </w:rPr>
  </w:style>
  <w:style w:type="character" w:customStyle="1" w:styleId="RegularDKB">
    <w:name w:val="Regular DKB"/>
    <w:uiPriority w:val="2"/>
    <w:qFormat/>
    <w:rsid w:val="00B04EF2"/>
    <w:rPr>
      <w:color w:val="004C97" w:themeColor="text2"/>
    </w:rPr>
  </w:style>
  <w:style w:type="character" w:customStyle="1" w:styleId="StrongDKB">
    <w:name w:val="Strong DKB"/>
    <w:uiPriority w:val="2"/>
    <w:qFormat/>
    <w:rsid w:val="00B04EF2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B04EF2"/>
    <w:rPr>
      <w:b/>
      <w:bCs/>
      <w:color w:val="009CDE" w:themeColor="accent1"/>
    </w:rPr>
  </w:style>
  <w:style w:type="paragraph" w:styleId="Title">
    <w:name w:val="Title"/>
    <w:basedOn w:val="Normal"/>
    <w:link w:val="TitleChar"/>
    <w:uiPriority w:val="8"/>
    <w:rsid w:val="00B04E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B04EF2"/>
    <w:rPr>
      <w:rFonts w:ascii="Arial" w:eastAsiaTheme="minorHAnsi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B04EF2"/>
  </w:style>
  <w:style w:type="paragraph" w:styleId="TOC2">
    <w:name w:val="toc 2"/>
    <w:basedOn w:val="Normal"/>
    <w:next w:val="Normal"/>
    <w:uiPriority w:val="8"/>
    <w:rsid w:val="00B04EF2"/>
    <w:pPr>
      <w:ind w:left="240"/>
    </w:pPr>
  </w:style>
  <w:style w:type="paragraph" w:styleId="TOC3">
    <w:name w:val="toc 3"/>
    <w:basedOn w:val="Normal"/>
    <w:next w:val="Normal"/>
    <w:uiPriority w:val="8"/>
    <w:rsid w:val="00B04EF2"/>
    <w:pPr>
      <w:ind w:left="480"/>
    </w:pPr>
  </w:style>
  <w:style w:type="paragraph" w:styleId="TOC4">
    <w:name w:val="toc 4"/>
    <w:basedOn w:val="Normal"/>
    <w:next w:val="Normal"/>
    <w:uiPriority w:val="8"/>
    <w:rsid w:val="00B04EF2"/>
    <w:pPr>
      <w:ind w:left="720"/>
    </w:pPr>
  </w:style>
  <w:style w:type="paragraph" w:styleId="TOC5">
    <w:name w:val="toc 5"/>
    <w:basedOn w:val="Normal"/>
    <w:next w:val="Normal"/>
    <w:uiPriority w:val="8"/>
    <w:rsid w:val="00B04EF2"/>
    <w:pPr>
      <w:ind w:left="960"/>
    </w:pPr>
  </w:style>
  <w:style w:type="paragraph" w:styleId="TOC6">
    <w:name w:val="toc 6"/>
    <w:basedOn w:val="Normal"/>
    <w:next w:val="Normal"/>
    <w:uiPriority w:val="8"/>
    <w:rsid w:val="00B04EF2"/>
    <w:pPr>
      <w:ind w:left="1200"/>
    </w:pPr>
  </w:style>
  <w:style w:type="paragraph" w:styleId="TOC7">
    <w:name w:val="toc 7"/>
    <w:basedOn w:val="Normal"/>
    <w:next w:val="Normal"/>
    <w:uiPriority w:val="8"/>
    <w:rsid w:val="00B04EF2"/>
    <w:pPr>
      <w:ind w:left="1440"/>
    </w:pPr>
  </w:style>
  <w:style w:type="paragraph" w:styleId="TOC8">
    <w:name w:val="toc 8"/>
    <w:basedOn w:val="Normal"/>
    <w:next w:val="Normal"/>
    <w:uiPriority w:val="8"/>
    <w:rsid w:val="00B04EF2"/>
    <w:pPr>
      <w:ind w:left="1680"/>
    </w:pPr>
  </w:style>
  <w:style w:type="paragraph" w:styleId="TOC9">
    <w:name w:val="toc 9"/>
    <w:basedOn w:val="Normal"/>
    <w:next w:val="Normal"/>
    <w:uiPriority w:val="8"/>
    <w:rsid w:val="00B04EF2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B04EF2"/>
    <w:pPr>
      <w:jc w:val="center"/>
    </w:pPr>
    <w:rPr>
      <w:b/>
      <w:smallCaps/>
    </w:rPr>
  </w:style>
  <w:style w:type="paragraph" w:customStyle="1" w:styleId="Stylewebtitle14ptBoldAccent1CenteredBefore0ptA">
    <w:name w:val="Style _webtitle + 14 pt Bold Accent 1 Centered Before:  0 pt A..."/>
    <w:basedOn w:val="Normal"/>
    <w:rsid w:val="00415F22"/>
    <w:pPr>
      <w:tabs>
        <w:tab w:val="left" w:pos="-1440"/>
      </w:tabs>
      <w:spacing w:after="120"/>
      <w:jc w:val="center"/>
      <w:outlineLvl w:val="0"/>
    </w:pPr>
    <w:rPr>
      <w:bCs/>
      <w:snapToGrid w:val="0"/>
      <w:color w:val="009CDE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304F6"/>
    <w:rPr>
      <w:color w:val="808080"/>
    </w:rPr>
  </w:style>
  <w:style w:type="character" w:styleId="Hyperlink">
    <w:name w:val="Hyperlink"/>
    <w:basedOn w:val="DefaultParagraphFont"/>
    <w:unhideWhenUsed/>
    <w:rsid w:val="00071C86"/>
    <w:rPr>
      <w:color w:val="009CD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C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1ABA"/>
    <w:rPr>
      <w:rFonts w:ascii="Arial" w:eastAsiaTheme="minorHAnsi" w:hAnsi="Arial"/>
      <w:szCs w:val="24"/>
    </w:rPr>
  </w:style>
  <w:style w:type="character" w:styleId="CommentReference">
    <w:name w:val="annotation reference"/>
    <w:basedOn w:val="DefaultParagraphFont"/>
    <w:semiHidden/>
    <w:unhideWhenUsed/>
    <w:rsid w:val="00325F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25FA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25FAB"/>
    <w:rPr>
      <w:rFonts w:ascii="Arial" w:eastAsiaTheme="minorHAnsi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5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5FAB"/>
    <w:rPr>
      <w:rFonts w:ascii="Arial" w:eastAsiaTheme="minorHAnsi" w:hAnsi="Arial"/>
      <w:b/>
      <w:bCs/>
    </w:rPr>
  </w:style>
  <w:style w:type="table" w:styleId="TableGrid">
    <w:name w:val="Table Grid"/>
    <w:basedOn w:val="TableNormal"/>
    <w:uiPriority w:val="39"/>
    <w:rsid w:val="008C4488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MRosales/Desktop/DMR/Microsoft/Excel/%20Central%20government%20bal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F.org/external/np/sec/misc/qualifiers.ht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d%20templates\IMF%20Templates\PR%20-%20AIV%20-%20ExecBoard.dotm" TargetMode="External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18BABD0ED6D468048C8451BAF473B" ma:contentTypeVersion="16" ma:contentTypeDescription="Create a new document." ma:contentTypeScope="" ma:versionID="3a60a5b1d3c9aa681e9b90f6485117cd">
  <xsd:schema xmlns:xsd="http://www.w3.org/2001/XMLSchema" xmlns:xs="http://www.w3.org/2001/XMLSchema" xmlns:p="http://schemas.microsoft.com/office/2006/metadata/properties" xmlns:ns2="c01c1d3e-a5c1-4247-90c8-8eee88b1fec1" xmlns:ns3="b1e38600-63d5-4e65-a582-7127f8355175" targetNamespace="http://schemas.microsoft.com/office/2006/metadata/properties" ma:root="true" ma:fieldsID="8767e903fa90b990eac6db36658d5b5f" ns2:_="" ns3:_="">
    <xsd:import namespace="c01c1d3e-a5c1-4247-90c8-8eee88b1fec1"/>
    <xsd:import namespace="b1e38600-63d5-4e65-a582-7127f8355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1d3e-a5c1-4247-90c8-8eee88b1f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1b0229-19ef-4425-8520-9f00e8db6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3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38600-63d5-4e65-a582-7127f835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b14ed20-387f-432f-a09c-3d474c28f344}" ma:internalName="TaxCatchAll" ma:showField="CatchAllData" ma:web="b1e38600-63d5-4e65-a582-7127f8355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TaxCatchAll xmlns="b1e38600-63d5-4e65-a582-7127f8355175" xsi:nil="true"/>
    <Dateandtime xmlns="c01c1d3e-a5c1-4247-90c8-8eee88b1fec1" xsi:nil="true"/>
    <lcf76f155ced4ddcb4097134ff3c332f xmlns="c01c1d3e-a5c1-4247-90c8-8eee88b1fe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552A3-F667-4760-A82A-C068F31EF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c1d3e-a5c1-4247-90c8-8eee88b1fec1"/>
    <ds:schemaRef ds:uri="b1e38600-63d5-4e65-a582-7127f8355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616CD-58CD-4FD4-B0DD-1A04137B2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D30F2B-9FAB-47D3-92DB-DB4BBD24A902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1e38600-63d5-4e65-a582-7127f8355175"/>
    <ds:schemaRef ds:uri="c01c1d3e-a5c1-4247-90c8-8eee88b1fec1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5C4F335-BBBA-4B02-B631-AAEFF9262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- AIV - ExecBoard</Template>
  <TotalTime>1</TotalTime>
  <Pages>4</Pages>
  <Words>1843</Words>
  <Characters>9921</Characters>
  <Application>Microsoft Office Word</Application>
  <DocSecurity>0</DocSecurity>
  <Lines>522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Release-English</vt:lpstr>
    </vt:vector>
  </TitlesOfParts>
  <Company>IMF</Company>
  <LinksUpToDate>false</LinksUpToDate>
  <CharactersWithSpaces>11344</CharactersWithSpaces>
  <SharedDoc>false</SharedDoc>
  <HLinks>
    <vt:vector size="18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C:\MRosales\Desktop\DMR\Microsoft\Excel\ Central government balance</vt:lpwstr>
      </vt:variant>
      <vt:variant>
        <vt:lpwstr/>
      </vt:variant>
      <vt:variant>
        <vt:i4>3932264</vt:i4>
      </vt:variant>
      <vt:variant>
        <vt:i4>3</vt:i4>
      </vt:variant>
      <vt:variant>
        <vt:i4>0</vt:i4>
      </vt:variant>
      <vt:variant>
        <vt:i4>5</vt:i4>
      </vt:variant>
      <vt:variant>
        <vt:lpwstr>http://www.imf.org/external/np/sec/misc/qualifiers.htm</vt:lpwstr>
      </vt:variant>
      <vt:variant>
        <vt:lpwstr/>
      </vt:variant>
      <vt:variant>
        <vt:i4>1572889</vt:i4>
      </vt:variant>
      <vt:variant>
        <vt:i4>0</vt:i4>
      </vt:variant>
      <vt:variant>
        <vt:i4>0</vt:i4>
      </vt:variant>
      <vt:variant>
        <vt:i4>5</vt:i4>
      </vt:variant>
      <vt:variant>
        <vt:lpwstr>http://www.imf.org/%5bcountry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Release-English</dc:title>
  <dc:subject/>
  <dc:creator>Anderson, Erica Marie</dc:creator>
  <cp:keywords>IMF</cp:keywords>
  <dc:description>Template used Fund-wide for producing press releases.</dc:description>
  <cp:lastModifiedBy>Rosales Torres, Manuel</cp:lastModifiedBy>
  <cp:revision>2</cp:revision>
  <cp:lastPrinted>2025-11-12T21:24:00Z</cp:lastPrinted>
  <dcterms:created xsi:type="dcterms:W3CDTF">2025-11-17T21:20:00Z</dcterms:created>
  <dcterms:modified xsi:type="dcterms:W3CDTF">2025-11-17T21:20:00Z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0x01010058118BABD0ED6D468048C8451BAF473B</vt:lpwstr>
  </property>
  <property fmtid="{D5CDD505-2E9C-101B-9397-08002B2CF9AE}" pid="3" name="MSIP_Label_0c07ed86-5dc5-4593-ad03-a8684b843815_Enabled">
    <vt:lpwstr>true</vt:lpwstr>
  </property>
  <property fmtid="{D5CDD505-2E9C-101B-9397-08002B2CF9AE}" pid="4" name="MSIP_Label_0c07ed86-5dc5-4593-ad03-a8684b843815_SetDate">
    <vt:lpwstr>2023-10-26T19:15:37Z</vt:lpwstr>
  </property>
  <property fmtid="{D5CDD505-2E9C-101B-9397-08002B2CF9AE}" pid="5" name="MSIP_Label_0c07ed86-5dc5-4593-ad03-a8684b843815_Method">
    <vt:lpwstr>Standard</vt:lpwstr>
  </property>
  <property fmtid="{D5CDD505-2E9C-101B-9397-08002B2CF9AE}" pid="6" name="MSIP_Label_0c07ed86-5dc5-4593-ad03-a8684b843815_Name">
    <vt:lpwstr>0c07ed86-5dc5-4593-ad03-a8684b843815</vt:lpwstr>
  </property>
  <property fmtid="{D5CDD505-2E9C-101B-9397-08002B2CF9AE}" pid="7" name="MSIP_Label_0c07ed86-5dc5-4593-ad03-a8684b843815_SiteId">
    <vt:lpwstr>8085fa43-302e-45bd-b171-a6648c3b6be7</vt:lpwstr>
  </property>
  <property fmtid="{D5CDD505-2E9C-101B-9397-08002B2CF9AE}" pid="8" name="MSIP_Label_0c07ed86-5dc5-4593-ad03-a8684b843815_ActionId">
    <vt:lpwstr>08a86659-0ffe-43b9-8122-8456307d2c36</vt:lpwstr>
  </property>
  <property fmtid="{D5CDD505-2E9C-101B-9397-08002B2CF9AE}" pid="9" name="MSIP_Label_0c07ed86-5dc5-4593-ad03-a8684b843815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es</vt:lpwstr>
  </property>
</Properties>
</file>